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7B" w:rsidRDefault="00E5257B" w:rsidP="00E5784E">
      <w:pPr>
        <w:autoSpaceDE w:val="0"/>
        <w:autoSpaceDN w:val="0"/>
        <w:adjustRightInd w:val="0"/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</w:pPr>
      <w:r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>Tabel</w:t>
      </w:r>
      <w:r w:rsidR="00356636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 xml:space="preserve"> </w:t>
      </w:r>
      <w:r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 xml:space="preserve">1. </w:t>
      </w:r>
      <w:r w:rsidRPr="00751F5F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 xml:space="preserve">Relatie tussen </w:t>
      </w:r>
      <w:r w:rsidR="00356636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>anti-epileptica</w:t>
      </w:r>
      <w:r w:rsidR="00AB5C00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>gebruik</w:t>
      </w:r>
      <w:r w:rsidR="00356636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>,</w:t>
      </w:r>
      <w:r w:rsidRPr="00751F5F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 xml:space="preserve"> </w:t>
      </w:r>
      <w:r w:rsidR="00ED082C" w:rsidRPr="00751F5F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>foliumzuur</w:t>
      </w:r>
      <w:bookmarkStart w:id="0" w:name="_GoBack"/>
      <w:bookmarkEnd w:id="0"/>
      <w:r w:rsidR="00ED082C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 xml:space="preserve">, </w:t>
      </w:r>
      <w:r w:rsidRPr="00751F5F">
        <w:rPr>
          <w:rFonts w:eastAsia="+mn-ea" w:cs="Arial"/>
          <w:b/>
          <w:bCs/>
          <w:color w:val="000000"/>
          <w:kern w:val="24"/>
          <w:sz w:val="22"/>
          <w:lang w:val="nl-NL" w:eastAsia="nl-NL"/>
        </w:rPr>
        <w:t>vitamine B12 en homocysteïne</w:t>
      </w:r>
    </w:p>
    <w:p w:rsidR="00686A2E" w:rsidRPr="00752D96" w:rsidRDefault="00686A2E" w:rsidP="00E5784E">
      <w:pPr>
        <w:autoSpaceDE w:val="0"/>
        <w:autoSpaceDN w:val="0"/>
        <w:adjustRightInd w:val="0"/>
        <w:rPr>
          <w:rFonts w:eastAsia="+mn-ea" w:cs="Arial"/>
          <w:b/>
          <w:bCs/>
          <w:color w:val="000000"/>
          <w:kern w:val="24"/>
          <w:sz w:val="18"/>
          <w:szCs w:val="18"/>
          <w:lang w:val="nl-NL" w:eastAsia="nl-NL"/>
        </w:rPr>
      </w:pPr>
    </w:p>
    <w:p w:rsidR="00686A2E" w:rsidRPr="00752D96" w:rsidRDefault="00686A2E" w:rsidP="00E5784E">
      <w:pPr>
        <w:autoSpaceDE w:val="0"/>
        <w:autoSpaceDN w:val="0"/>
        <w:adjustRightInd w:val="0"/>
        <w:rPr>
          <w:rFonts w:cs="Arial"/>
          <w:sz w:val="18"/>
          <w:szCs w:val="18"/>
          <w:lang w:val="nl-NL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2268"/>
        <w:gridCol w:w="2126"/>
        <w:gridCol w:w="2238"/>
        <w:gridCol w:w="2325"/>
      </w:tblGrid>
      <w:tr w:rsidR="00293DDA" w:rsidRPr="00752D96" w:rsidTr="00831BAA">
        <w:trPr>
          <w:trHeight w:val="1355"/>
        </w:trPr>
        <w:tc>
          <w:tcPr>
            <w:tcW w:w="1384" w:type="dxa"/>
          </w:tcPr>
          <w:p w:rsidR="00DC36DD" w:rsidRPr="00752D96" w:rsidRDefault="00DC36DD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  <w:p w:rsidR="00E5257B" w:rsidRPr="00752D96" w:rsidRDefault="00DC36DD" w:rsidP="007A7D49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A</w:t>
            </w:r>
            <w:r w:rsidR="00E5257B" w:rsidRPr="00752D96">
              <w:rPr>
                <w:rFonts w:cs="Arial"/>
                <w:sz w:val="18"/>
                <w:szCs w:val="18"/>
                <w:lang w:val="nl-NL"/>
              </w:rPr>
              <w:t>uteur, jaar, land</w:t>
            </w:r>
          </w:p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835" w:type="dxa"/>
          </w:tcPr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  <w:p w:rsidR="00E5257B" w:rsidRPr="00752D96" w:rsidRDefault="003E411F" w:rsidP="003E411F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O</w:t>
            </w:r>
            <w:r w:rsidR="00E5257B" w:rsidRPr="00752D96">
              <w:rPr>
                <w:rFonts w:cs="Arial"/>
                <w:sz w:val="18"/>
                <w:szCs w:val="18"/>
                <w:lang w:val="nl-NL"/>
              </w:rPr>
              <w:t>nderzoeks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opzet</w:t>
            </w:r>
          </w:p>
        </w:tc>
        <w:tc>
          <w:tcPr>
            <w:tcW w:w="2268" w:type="dxa"/>
          </w:tcPr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Vitamine B12</w:t>
            </w:r>
          </w:p>
        </w:tc>
        <w:tc>
          <w:tcPr>
            <w:tcW w:w="2126" w:type="dxa"/>
          </w:tcPr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Foliumzuur</w:t>
            </w:r>
          </w:p>
        </w:tc>
        <w:tc>
          <w:tcPr>
            <w:tcW w:w="2238" w:type="dxa"/>
          </w:tcPr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  <w:p w:rsidR="00E5257B" w:rsidRPr="00752D96" w:rsidRDefault="00DC36DD" w:rsidP="007A7D49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H</w:t>
            </w:r>
            <w:r w:rsidR="00E5257B" w:rsidRPr="00752D96">
              <w:rPr>
                <w:rFonts w:cs="Arial"/>
                <w:sz w:val="18"/>
                <w:szCs w:val="18"/>
                <w:lang w:val="nl-NL"/>
              </w:rPr>
              <w:t>omocysteïne</w:t>
            </w:r>
          </w:p>
        </w:tc>
        <w:tc>
          <w:tcPr>
            <w:tcW w:w="2325" w:type="dxa"/>
          </w:tcPr>
          <w:p w:rsidR="00E5257B" w:rsidRPr="00752D96" w:rsidRDefault="00E5257B" w:rsidP="007A7D49">
            <w:pPr>
              <w:rPr>
                <w:rFonts w:cs="Arial"/>
                <w:sz w:val="18"/>
                <w:szCs w:val="18"/>
                <w:lang w:val="nl-NL"/>
              </w:rPr>
            </w:pPr>
          </w:p>
          <w:p w:rsidR="00E5257B" w:rsidRPr="00752D96" w:rsidRDefault="00980675" w:rsidP="00980675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Opmerking</w:t>
            </w:r>
          </w:p>
        </w:tc>
      </w:tr>
      <w:tr w:rsidR="000B2E6B" w:rsidRPr="00752D96" w:rsidTr="00831BAA">
        <w:trPr>
          <w:trHeight w:val="1355"/>
        </w:trPr>
        <w:tc>
          <w:tcPr>
            <w:tcW w:w="1384" w:type="dxa"/>
          </w:tcPr>
          <w:p w:rsidR="000B2E6B" w:rsidRPr="00752D96" w:rsidRDefault="000B2E6B" w:rsidP="00526892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A</w:t>
            </w:r>
            <w:r w:rsidR="00526892" w:rsidRPr="00752D96">
              <w:rPr>
                <w:rFonts w:cs="Arial"/>
                <w:sz w:val="18"/>
                <w:szCs w:val="18"/>
                <w:lang w:val="nl-NL"/>
              </w:rPr>
              <w:t>l-</w:t>
            </w:r>
            <w:proofErr w:type="spellStart"/>
            <w:r w:rsidR="00526892" w:rsidRPr="00752D96">
              <w:rPr>
                <w:rFonts w:cs="Arial"/>
                <w:sz w:val="18"/>
                <w:szCs w:val="18"/>
                <w:lang w:val="nl-NL"/>
              </w:rPr>
              <w:t>Musaed</w:t>
            </w:r>
            <w:proofErr w:type="spellEnd"/>
            <w:r w:rsidR="00526892" w:rsidRPr="00752D96">
              <w:rPr>
                <w:rFonts w:cs="Arial"/>
                <w:sz w:val="18"/>
                <w:szCs w:val="18"/>
                <w:lang w:val="nl-NL"/>
              </w:rPr>
              <w:t xml:space="preserve">, Groot </w:t>
            </w:r>
            <w:proofErr w:type="spellStart"/>
            <w:r w:rsidR="00526892" w:rsidRPr="00752D96">
              <w:rPr>
                <w:rFonts w:cs="Arial"/>
                <w:sz w:val="18"/>
                <w:szCs w:val="18"/>
                <w:lang w:val="nl-NL"/>
              </w:rPr>
              <w:t>Britannië</w:t>
            </w:r>
            <w:proofErr w:type="spellEnd"/>
            <w:r w:rsidR="00526892" w:rsidRPr="00752D96">
              <w:rPr>
                <w:rFonts w:cs="Arial"/>
                <w:sz w:val="18"/>
                <w:szCs w:val="18"/>
                <w:lang w:val="nl-NL"/>
              </w:rPr>
              <w:t xml:space="preserve"> 1992</w:t>
            </w:r>
          </w:p>
        </w:tc>
        <w:tc>
          <w:tcPr>
            <w:tcW w:w="2835" w:type="dxa"/>
          </w:tcPr>
          <w:p w:rsidR="000B2E6B" w:rsidRPr="00752D96" w:rsidRDefault="00780338" w:rsidP="00980675">
            <w:pPr>
              <w:pStyle w:val="Geenafstand"/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Cross-sectioneel: </w:t>
            </w:r>
            <w:r w:rsidR="0098067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133 </w:t>
            </w:r>
            <w:r w:rsidR="00CC25D8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volwassen </w:t>
            </w:r>
            <w:r w:rsidR="0098067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patiënten met </w:t>
            </w:r>
            <w:r w:rsidR="00CC25D8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trigeminusneuralgie en </w:t>
            </w:r>
            <w:r w:rsidR="0098067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drie jaar intermitterend carbamazepinegebruik, waarvan minimaal de laatste drie maanden constant</w:t>
            </w:r>
            <w:r w:rsidR="00F77F3C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(groep 1)</w:t>
            </w:r>
            <w:r w:rsidR="0098067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, 110 controlepersonen zonder carbamazepinegebruik</w:t>
            </w:r>
            <w:r w:rsidR="00F77F3C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((controle-)groep 2)</w:t>
            </w:r>
          </w:p>
        </w:tc>
        <w:tc>
          <w:tcPr>
            <w:tcW w:w="2268" w:type="dxa"/>
          </w:tcPr>
          <w:p w:rsidR="000B2E6B" w:rsidRPr="00752D96" w:rsidRDefault="000B2E6B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0B2E6B" w:rsidRPr="00752D96" w:rsidRDefault="00980675" w:rsidP="00526892">
            <w:pPr>
              <w:pStyle w:val="Geenafstand"/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Lagere </w:t>
            </w:r>
            <w:r w:rsidR="0055739C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rode cellen </w:t>
            </w: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foliumzuurspiegel bij carbamazepinegroep dan controlegroep.  Meer patiënten met deficiëntie in de carbamazepinegroep (24,8%</w:t>
            </w:r>
            <w:r w:rsidR="00526892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) dan in de controlegroep (</w:t>
            </w: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3,6%)</w:t>
            </w:r>
            <w:r w:rsidR="00526892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(ARR 21,2% (95% BI </w:t>
            </w:r>
            <w:r w:rsidR="00526892" w:rsidRPr="00752D96">
              <w:rPr>
                <w:rFonts w:cs="Arial"/>
                <w:sz w:val="18"/>
                <w:szCs w:val="18"/>
                <w:lang w:val="nl-NL"/>
              </w:rPr>
              <w:t>13,0% - 29,3%)</w:t>
            </w:r>
            <w:r w:rsidRPr="00752D96">
              <w:rPr>
                <w:rFonts w:eastAsia="+mn-ea" w:cs="Arial"/>
                <w:kern w:val="24"/>
                <w:sz w:val="18"/>
                <w:szCs w:val="18"/>
                <w:lang w:val="nl-NL" w:eastAsia="nl-NL"/>
              </w:rPr>
              <w:t>.</w:t>
            </w:r>
          </w:p>
        </w:tc>
        <w:tc>
          <w:tcPr>
            <w:tcW w:w="2238" w:type="dxa"/>
          </w:tcPr>
          <w:p w:rsidR="000B2E6B" w:rsidRPr="00752D96" w:rsidRDefault="000B2E6B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325" w:type="dxa"/>
          </w:tcPr>
          <w:p w:rsidR="00C20D9E" w:rsidRPr="00752D96" w:rsidRDefault="00C20D9E" w:rsidP="00C20D9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dieet intake van foliumzuur tussen de twee groepen.</w:t>
            </w:r>
          </w:p>
          <w:p w:rsidR="0055739C" w:rsidRPr="00752D96" w:rsidRDefault="00C20D9E" w:rsidP="00C20D9E">
            <w:pPr>
              <w:pStyle w:val="Geenafstand"/>
              <w:rPr>
                <w:rFonts w:cs="Arial"/>
                <w:sz w:val="18"/>
                <w:szCs w:val="18"/>
                <w:vertAlign w:val="subscript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De auteurs vermelden een “dramatische toename” van de rode cellen foliumzuurspiegel bij 25 patiënten met een aanvankelijk te lage spiegel, die gedurende 4 weken met foliumzuur werden behandeld.</w:t>
            </w:r>
            <w:r w:rsidRPr="00752D96">
              <w:rPr>
                <w:rFonts w:cs="Arial"/>
                <w:sz w:val="18"/>
                <w:szCs w:val="18"/>
                <w:vertAlign w:val="subscript"/>
                <w:lang w:val="nl-NL"/>
              </w:rPr>
              <w:t xml:space="preserve"> </w:t>
            </w:r>
            <w:r w:rsidR="0055739C" w:rsidRPr="00752D96">
              <w:rPr>
                <w:rFonts w:cs="Arial"/>
                <w:sz w:val="18"/>
                <w:szCs w:val="18"/>
                <w:vertAlign w:val="subscript"/>
                <w:lang w:val="nl-NL"/>
              </w:rPr>
              <w:t xml:space="preserve"> </w:t>
            </w:r>
          </w:p>
        </w:tc>
      </w:tr>
      <w:tr w:rsidR="003E3F2D" w:rsidRPr="00752D96" w:rsidTr="00831BAA">
        <w:trPr>
          <w:trHeight w:val="1355"/>
        </w:trPr>
        <w:tc>
          <w:tcPr>
            <w:tcW w:w="1384" w:type="dxa"/>
          </w:tcPr>
          <w:p w:rsidR="003E3F2D" w:rsidRPr="00752D96" w:rsidRDefault="003E3F2D" w:rsidP="000B2E6B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Apeland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, 2000, Noorwegen</w:t>
            </w:r>
          </w:p>
        </w:tc>
        <w:tc>
          <w:tcPr>
            <w:tcW w:w="2835" w:type="dxa"/>
          </w:tcPr>
          <w:p w:rsidR="003E3F2D" w:rsidRPr="00752D96" w:rsidRDefault="00780338" w:rsidP="00780338">
            <w:pPr>
              <w:pStyle w:val="Geenafstand"/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Cross-sectioneel: </w:t>
            </w:r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34 volwassen epilepsiepatiënten, chronisch behandeld met een of meerdere anti-epileptica (groep 1: N=21, gebruike</w:t>
            </w:r>
            <w:r w:rsidR="00DF103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r</w:t>
            </w:r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s van uitsluitend </w:t>
            </w:r>
            <w:proofErr w:type="spellStart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cyp-induceerders</w:t>
            </w:r>
            <w:proofErr w:type="spellEnd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(carbamazepine, </w:t>
            </w:r>
            <w:proofErr w:type="spellStart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fenobarbitaal</w:t>
            </w:r>
            <w:proofErr w:type="spellEnd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of </w:t>
            </w:r>
            <w:proofErr w:type="spellStart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primidon</w:t>
            </w:r>
            <w:proofErr w:type="spellEnd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)), groep 2: N=6, gebruikers van </w:t>
            </w:r>
            <w:proofErr w:type="spellStart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cyp</w:t>
            </w:r>
            <w:proofErr w:type="spellEnd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-inhibitoren (allen op valproïnezuur, soms gecombinee</w:t>
            </w:r>
            <w:r w:rsidR="00DF103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r</w:t>
            </w:r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d met </w:t>
            </w:r>
            <w:proofErr w:type="spellStart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clonazepam</w:t>
            </w:r>
            <w:proofErr w:type="spellEnd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="00DF103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vigabatrine</w:t>
            </w:r>
            <w:proofErr w:type="spellEnd"/>
            <w:r w:rsidR="00DF103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of </w:t>
            </w:r>
            <w:proofErr w:type="spellStart"/>
            <w:r w:rsidR="00DF103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lamotrigine</w:t>
            </w:r>
            <w:proofErr w:type="spellEnd"/>
            <w:r w:rsidR="00DF103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) en groep 3: N=7, gebruikers van de combinatie carbamazepine en valproïnezuur, soms met topiramaat), vergeleken met 34</w:t>
            </w:r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gezonde, op leeftijd, geslacht, BMI en rookgedrag </w:t>
            </w:r>
            <w:proofErr w:type="spellStart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gemachte</w:t>
            </w:r>
            <w:proofErr w:type="spellEnd"/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personen (</w:t>
            </w:r>
            <w:r w:rsidR="0049221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(controle-)</w:t>
            </w:r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groep </w:t>
            </w:r>
            <w:r w:rsidR="0049221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4</w:t>
            </w:r>
            <w:r w:rsidR="001827A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).</w:t>
            </w:r>
          </w:p>
        </w:tc>
        <w:tc>
          <w:tcPr>
            <w:tcW w:w="2268" w:type="dxa"/>
          </w:tcPr>
          <w:p w:rsidR="003E3F2D" w:rsidRPr="00752D96" w:rsidRDefault="003E3F2D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3E3F2D" w:rsidRPr="00752D96" w:rsidRDefault="00DD208F" w:rsidP="00DC36DD">
            <w:pPr>
              <w:pStyle w:val="Geenafstand"/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Negatieve correlatie tussen foliumzuurspiegel en homocysteïnespiegel</w:t>
            </w:r>
          </w:p>
        </w:tc>
        <w:tc>
          <w:tcPr>
            <w:tcW w:w="2238" w:type="dxa"/>
          </w:tcPr>
          <w:p w:rsidR="003E3F2D" w:rsidRPr="00752D96" w:rsidRDefault="00577E21" w:rsidP="00DD208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In de totale patiëntengroep vaker een te hoge homocysteïnespiegel dan in controlegroep (58,8% versus 35,3%).</w:t>
            </w:r>
            <w:r w:rsidR="00602668" w:rsidRPr="00752D96">
              <w:rPr>
                <w:rFonts w:cs="Arial"/>
                <w:sz w:val="18"/>
                <w:szCs w:val="18"/>
                <w:lang w:val="nl-NL"/>
              </w:rPr>
              <w:t xml:space="preserve"> Dit was eveneens vaker het geval bij groep 1 ( 89,5%) </w:t>
            </w:r>
            <w:r w:rsidR="00DD208F" w:rsidRPr="00752D96">
              <w:rPr>
                <w:rFonts w:cs="Arial"/>
                <w:sz w:val="18"/>
                <w:szCs w:val="18"/>
                <w:lang w:val="nl-NL"/>
              </w:rPr>
              <w:t>dan</w:t>
            </w:r>
            <w:r w:rsidR="00602668" w:rsidRPr="00752D96">
              <w:rPr>
                <w:rFonts w:cs="Arial"/>
                <w:sz w:val="18"/>
                <w:szCs w:val="18"/>
                <w:lang w:val="nl-NL"/>
              </w:rPr>
              <w:t xml:space="preserve"> bij groep 3 (0%).</w:t>
            </w:r>
          </w:p>
        </w:tc>
        <w:tc>
          <w:tcPr>
            <w:tcW w:w="2325" w:type="dxa"/>
          </w:tcPr>
          <w:p w:rsidR="003E3F2D" w:rsidRPr="00752D96" w:rsidRDefault="00ED082C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kleine groepen</w:t>
            </w:r>
          </w:p>
        </w:tc>
      </w:tr>
      <w:tr w:rsidR="00293DDA" w:rsidRPr="00752D96" w:rsidTr="00831BAA">
        <w:trPr>
          <w:trHeight w:val="1355"/>
        </w:trPr>
        <w:tc>
          <w:tcPr>
            <w:tcW w:w="1384" w:type="dxa"/>
          </w:tcPr>
          <w:p w:rsidR="00DC36DD" w:rsidRPr="00752D96" w:rsidRDefault="00DC36DD" w:rsidP="00DC36DD">
            <w:pPr>
              <w:pStyle w:val="Geenafstand"/>
              <w:rPr>
                <w:rFonts w:eastAsia="Times New Roman"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Apeland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2001, Noorwegen</w:t>
            </w:r>
          </w:p>
          <w:p w:rsidR="00DC36DD" w:rsidRPr="00752D96" w:rsidRDefault="00DC36DD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835" w:type="dxa"/>
          </w:tcPr>
          <w:p w:rsidR="00DC36DD" w:rsidRPr="00752D96" w:rsidRDefault="00780338" w:rsidP="0078033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Cross-sectioneel: 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42 volwassen epilepsiepatiënten</w:t>
            </w:r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,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</w:t>
            </w:r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chronisch 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behandeld met carbamazepine </w:t>
            </w:r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monotherapie 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(groep 1)</w:t>
            </w:r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,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vergeleken met 42 gezond</w:t>
            </w:r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e, op leeftijd, geslacht, BMI en rookgedrag </w:t>
            </w:r>
            <w:proofErr w:type="spellStart"/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gema</w:t>
            </w:r>
            <w:r w:rsidR="001508A8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t</w:t>
            </w:r>
            <w:r w:rsidR="00460366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cht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e</w:t>
            </w:r>
            <w:proofErr w:type="spellEnd"/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personen (</w:t>
            </w:r>
            <w:r w:rsidR="00492215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(controle-)</w:t>
            </w:r>
            <w:r w:rsidR="00DC36D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groep 2).</w:t>
            </w:r>
          </w:p>
        </w:tc>
        <w:tc>
          <w:tcPr>
            <w:tcW w:w="2268" w:type="dxa"/>
          </w:tcPr>
          <w:p w:rsidR="00DC36DD" w:rsidRPr="00752D96" w:rsidRDefault="00DC36DD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gemiddelde vitamine B12 waarde tussen de  2 groepen. Alleen in groep 2 werd 1 patiënt met een te lage vitamine  B12 waarde gevonden.</w:t>
            </w:r>
          </w:p>
        </w:tc>
        <w:tc>
          <w:tcPr>
            <w:tcW w:w="2126" w:type="dxa"/>
          </w:tcPr>
          <w:p w:rsidR="00DC36DD" w:rsidRPr="00752D96" w:rsidRDefault="00DC36DD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Groep 1 had  lagere gemiddelde foliumzuurwaarden dan groep 2. 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Tien carbamazepinepatiënten gebruikten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multivitaminetabletten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en toonden hogere foliumzuurwaarden dan de carbamazepinegebruikers zonder vitaminegebruik.</w:t>
            </w:r>
          </w:p>
        </w:tc>
        <w:tc>
          <w:tcPr>
            <w:tcW w:w="2238" w:type="dxa"/>
          </w:tcPr>
          <w:p w:rsidR="00DC36DD" w:rsidRPr="00752D96" w:rsidRDefault="00DC36DD" w:rsidP="003C145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In groep 1 een hogere gemiddelde </w:t>
            </w:r>
            <w:proofErr w:type="spellStart"/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homocysteïnewaarde</w:t>
            </w:r>
            <w:proofErr w:type="spellEnd"/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. 2</w:t>
            </w:r>
            <w:r w:rsidR="003C145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3,8</w:t>
            </w: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% van groep 1 en </w:t>
            </w:r>
            <w:r w:rsidR="003C145D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4,8</w:t>
            </w: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% va</w:t>
            </w:r>
            <w:r w:rsidR="00D21D7E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n</w:t>
            </w: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groep 2 toonden een te hoge </w:t>
            </w:r>
            <w:proofErr w:type="spellStart"/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homocysteïnewaarde</w:t>
            </w:r>
            <w:proofErr w:type="spellEnd"/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</w:t>
            </w:r>
            <w:r w:rsidR="003C145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(ARR 19,1% (95%BI 4,7 tot 33,5%).</w:t>
            </w:r>
          </w:p>
        </w:tc>
        <w:tc>
          <w:tcPr>
            <w:tcW w:w="2325" w:type="dxa"/>
          </w:tcPr>
          <w:p w:rsidR="00492215" w:rsidRPr="00752D96" w:rsidRDefault="00C20D9E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</w:t>
            </w:r>
            <w:r w:rsidR="00492215" w:rsidRPr="00752D96">
              <w:rPr>
                <w:rFonts w:cs="Arial"/>
                <w:sz w:val="18"/>
                <w:szCs w:val="18"/>
                <w:lang w:val="nl-NL"/>
              </w:rPr>
              <w:t>leine groepen;</w:t>
            </w:r>
          </w:p>
          <w:p w:rsidR="00DC36DD" w:rsidRPr="00752D96" w:rsidRDefault="003C145D" w:rsidP="00DC36D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De voor de foliumzuurstof</w:t>
            </w:r>
            <w:r w:rsidR="00DC36DD" w:rsidRPr="00752D96">
              <w:rPr>
                <w:rFonts w:cs="Arial"/>
                <w:sz w:val="18"/>
                <w:szCs w:val="18"/>
                <w:lang w:val="nl-NL"/>
              </w:rPr>
              <w:t>w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i</w:t>
            </w:r>
            <w:r w:rsidR="00DC36DD" w:rsidRPr="00752D96">
              <w:rPr>
                <w:rFonts w:cs="Arial"/>
                <w:sz w:val="18"/>
                <w:szCs w:val="18"/>
                <w:lang w:val="nl-NL"/>
              </w:rPr>
              <w:t xml:space="preserve">sseling belangrijke C677T mutatie  kwam in beide groepen even vaak voor en was geassocieerd met een hogere homocysteïne- en lagere foliumzuurspiegel. </w:t>
            </w:r>
          </w:p>
        </w:tc>
      </w:tr>
      <w:tr w:rsidR="00293DDA" w:rsidRPr="00752D96" w:rsidTr="00831BAA">
        <w:trPr>
          <w:trHeight w:val="983"/>
        </w:trPr>
        <w:tc>
          <w:tcPr>
            <w:tcW w:w="1384" w:type="dxa"/>
          </w:tcPr>
          <w:p w:rsidR="00DC36DD" w:rsidRPr="00752D96" w:rsidRDefault="00DC36DD" w:rsidP="00293DDA">
            <w:pPr>
              <w:pStyle w:val="Geenafstand"/>
              <w:rPr>
                <w:rFonts w:cs="Arial"/>
                <w:sz w:val="18"/>
                <w:szCs w:val="18"/>
              </w:rPr>
            </w:pPr>
            <w:r w:rsidRPr="00752D96">
              <w:rPr>
                <w:rFonts w:cs="Arial"/>
                <w:sz w:val="18"/>
                <w:szCs w:val="18"/>
                <w:lang w:eastAsia="nl-NL"/>
              </w:rPr>
              <w:t xml:space="preserve">Aslan, 2008, </w:t>
            </w: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t>Turkije</w:t>
            </w:r>
            <w:proofErr w:type="spellEnd"/>
          </w:p>
        </w:tc>
        <w:tc>
          <w:tcPr>
            <w:tcW w:w="2835" w:type="dxa"/>
          </w:tcPr>
          <w:p w:rsidR="00DC36DD" w:rsidRPr="00752D96" w:rsidRDefault="00780338" w:rsidP="0078033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45 </w:t>
            </w:r>
            <w:r w:rsidR="005A071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volwassen 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patiënten behandeld met </w:t>
            </w:r>
            <w:r w:rsidR="00E82D3B" w:rsidRPr="00752D96">
              <w:rPr>
                <w:rFonts w:cs="Arial"/>
                <w:sz w:val="18"/>
                <w:szCs w:val="18"/>
                <w:lang w:val="nl-NL" w:eastAsia="nl-NL"/>
              </w:rPr>
              <w:t>monotherapie (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>carbamazepine (N=26), oxcarbazepine (N=4) of valproïnezuur (N=15)</w:t>
            </w:r>
            <w:r w:rsidR="00E82D3B" w:rsidRPr="00752D96">
              <w:rPr>
                <w:rFonts w:cs="Arial"/>
                <w:sz w:val="18"/>
                <w:szCs w:val="18"/>
                <w:lang w:val="nl-NL" w:eastAsia="nl-NL"/>
              </w:rPr>
              <w:t>)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(groep 1) en 23 gezonde</w:t>
            </w:r>
            <w:r w:rsidR="00E82D3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E82D3B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op leeftijd, geslacht, rookgedrag en alcoholgebruik </w:t>
            </w:r>
            <w:proofErr w:type="spellStart"/>
            <w:r w:rsidR="00E82D3B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gemachte</w:t>
            </w:r>
            <w:proofErr w:type="spellEnd"/>
            <w:r w:rsidR="00E82D3B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 xml:space="preserve"> 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>personen zonder anti-epilepticagebruik</w:t>
            </w:r>
            <w:r w:rsidR="00E82D3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>(</w:t>
            </w:r>
            <w:r w:rsidR="00492215" w:rsidRPr="00752D96">
              <w:rPr>
                <w:rFonts w:cs="Arial"/>
                <w:sz w:val="18"/>
                <w:szCs w:val="18"/>
                <w:lang w:val="nl-NL" w:eastAsia="nl-NL"/>
              </w:rPr>
              <w:t>(controle-)</w:t>
            </w:r>
            <w:r w:rsidR="00DC36DD" w:rsidRPr="00752D96">
              <w:rPr>
                <w:rFonts w:cs="Arial"/>
                <w:sz w:val="18"/>
                <w:szCs w:val="18"/>
                <w:lang w:val="nl-NL" w:eastAsia="nl-NL"/>
              </w:rPr>
              <w:t>groep 2).</w:t>
            </w:r>
          </w:p>
        </w:tc>
        <w:tc>
          <w:tcPr>
            <w:tcW w:w="2268" w:type="dxa"/>
          </w:tcPr>
          <w:p w:rsidR="00DC36DD" w:rsidRPr="00752D96" w:rsidRDefault="00DC36DD" w:rsidP="00A85FF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Geen verschil in gemiddelde vitamine B12 waarden tussen de twee groepen.  </w:t>
            </w:r>
            <w:r w:rsidR="002E07DB" w:rsidRPr="00752D96">
              <w:rPr>
                <w:rFonts w:cs="Arial"/>
                <w:sz w:val="18"/>
                <w:szCs w:val="18"/>
                <w:lang w:val="nl-NL" w:eastAsia="nl-NL"/>
              </w:rPr>
              <w:t>V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itamine B 12 was</w:t>
            </w:r>
            <w:r w:rsidR="002E07D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bij 17,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8 % van groep 1 en bij 8</w:t>
            </w:r>
            <w:r w:rsidR="002E07DB" w:rsidRPr="00752D96">
              <w:rPr>
                <w:rFonts w:cs="Arial"/>
                <w:sz w:val="18"/>
                <w:szCs w:val="18"/>
                <w:lang w:val="nl-NL" w:eastAsia="nl-NL"/>
              </w:rPr>
              <w:t>,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7 % van groep 2 te laag (</w:t>
            </w:r>
            <w:r w:rsidR="00C04A1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(ARR 9,1% (95%BI -7,0 tot 25,1%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). </w:t>
            </w:r>
            <w:r w:rsidR="00D21D7E" w:rsidRPr="00752D96">
              <w:rPr>
                <w:rFonts w:cs="Arial"/>
                <w:sz w:val="18"/>
                <w:szCs w:val="18"/>
                <w:lang w:val="nl-NL" w:eastAsia="nl-NL"/>
              </w:rPr>
              <w:t>23,0% van de carbamazepinegebruikers had ee</w:t>
            </w:r>
            <w:r w:rsidR="00A85FF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n te lage vitamine B12 spiegel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(AR</w:t>
            </w:r>
            <w:r w:rsidR="00C04A17" w:rsidRPr="00752D96">
              <w:rPr>
                <w:rFonts w:cs="Arial"/>
                <w:sz w:val="18"/>
                <w:szCs w:val="18"/>
                <w:lang w:val="nl-NL" w:eastAsia="nl-NL"/>
              </w:rPr>
              <w:t>R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D21D7E" w:rsidRPr="00752D96">
              <w:rPr>
                <w:rFonts w:cs="Arial"/>
                <w:sz w:val="18"/>
                <w:szCs w:val="18"/>
                <w:lang w:val="nl-NL" w:eastAsia="nl-NL"/>
              </w:rPr>
              <w:t>met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365732" w:rsidRPr="00752D96">
              <w:rPr>
                <w:rFonts w:cs="Arial"/>
                <w:sz w:val="18"/>
                <w:szCs w:val="18"/>
                <w:lang w:val="nl-NL" w:eastAsia="nl-NL"/>
              </w:rPr>
              <w:t>groep 2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14,4% (95%BI -</w:t>
            </w:r>
            <w:r w:rsidR="00A85FF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5,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5 tot 34,3</w:t>
            </w:r>
            <w:r w:rsidR="00A85FF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%</w:t>
            </w:r>
            <w:r w:rsidR="00365732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)</w:t>
            </w:r>
            <w:r w:rsidR="00A85FF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.</w:t>
            </w:r>
          </w:p>
        </w:tc>
        <w:tc>
          <w:tcPr>
            <w:tcW w:w="2126" w:type="dxa"/>
          </w:tcPr>
          <w:p w:rsidR="00DC36DD" w:rsidRPr="00752D96" w:rsidRDefault="00DC36DD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Significant lagere foliumzuurwaarden in groep 1 versus groep 2. Het foliumzuur was bij 6,</w:t>
            </w:r>
            <w:r w:rsidR="00B552B3" w:rsidRPr="00752D96">
              <w:rPr>
                <w:rFonts w:cs="Arial"/>
                <w:sz w:val="18"/>
                <w:szCs w:val="18"/>
                <w:lang w:val="nl-NL"/>
              </w:rPr>
              <w:t>7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% van groep 1 en </w:t>
            </w:r>
            <w:r w:rsidR="00B552B3" w:rsidRPr="00752D96">
              <w:rPr>
                <w:rFonts w:cs="Arial"/>
                <w:sz w:val="18"/>
                <w:szCs w:val="18"/>
                <w:lang w:val="nl-NL"/>
              </w:rPr>
              <w:t>niemand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van groep 2 te laag (</w:t>
            </w:r>
            <w:r w:rsidR="00B552B3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ARR 6,7% (95%BI -0,6 tot 14,0%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).</w:t>
            </w:r>
          </w:p>
          <w:p w:rsidR="00DC36DD" w:rsidRPr="00752D96" w:rsidRDefault="00DC36DD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238" w:type="dxa"/>
          </w:tcPr>
          <w:p w:rsidR="00DC36DD" w:rsidRPr="00752D96" w:rsidRDefault="00DC36DD" w:rsidP="001B6185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homocysteï</w:t>
            </w:r>
            <w:r w:rsidR="002E07DB" w:rsidRPr="00752D96">
              <w:rPr>
                <w:rFonts w:cs="Arial"/>
                <w:sz w:val="18"/>
                <w:szCs w:val="18"/>
                <w:lang w:val="nl-NL" w:eastAsia="nl-NL"/>
              </w:rPr>
              <w:t>ne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waarde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was bij groep 1 hoger dan bij </w:t>
            </w:r>
            <w:r w:rsidR="002E07DB" w:rsidRPr="00752D96">
              <w:rPr>
                <w:rFonts w:cs="Arial"/>
                <w:sz w:val="18"/>
                <w:szCs w:val="18"/>
                <w:lang w:val="nl-NL" w:eastAsia="nl-NL"/>
              </w:rPr>
              <w:t>groep 2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. Bij 1</w:t>
            </w:r>
            <w:r w:rsidR="002E07DB" w:rsidRPr="00752D96">
              <w:rPr>
                <w:rFonts w:cs="Arial"/>
                <w:sz w:val="18"/>
                <w:szCs w:val="18"/>
                <w:lang w:val="nl-NL" w:eastAsia="nl-NL"/>
              </w:rPr>
              <w:t>7,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8% van groep 1 en niemand van groep 2 was de </w:t>
            </w:r>
            <w:proofErr w:type="spellStart"/>
            <w:r w:rsidR="00365732" w:rsidRPr="00752D96">
              <w:rPr>
                <w:rFonts w:cs="Arial"/>
                <w:sz w:val="18"/>
                <w:szCs w:val="18"/>
                <w:lang w:val="nl-NL" w:eastAsia="nl-NL"/>
              </w:rPr>
              <w:t>homocysteï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newaarde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te hoog (</w:t>
            </w:r>
            <w:r w:rsidR="001B6185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ARR 17,8% (95%BI 6,6 tot 29,0%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).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 xml:space="preserve"> Bij </w:t>
            </w:r>
            <w:r w:rsidR="00EE1FBB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 xml:space="preserve">15,4% van de 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 xml:space="preserve">carbamazepinegebruikers was </w:t>
            </w:r>
            <w:r w:rsidR="00EE1FBB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de homocysteïnespiegel te hoog (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ARR 15,4% (95%BI 1,5 tot 29,3%).</w:t>
            </w:r>
          </w:p>
        </w:tc>
        <w:tc>
          <w:tcPr>
            <w:tcW w:w="2325" w:type="dxa"/>
          </w:tcPr>
          <w:p w:rsidR="00DC36DD" w:rsidRPr="00752D96" w:rsidRDefault="00C20D9E" w:rsidP="00C20D9E">
            <w:pPr>
              <w:pStyle w:val="Geenafstand"/>
              <w:rPr>
                <w:rFonts w:eastAsia="Times New Roman" w:cs="Arial"/>
                <w:color w:val="494949"/>
                <w:sz w:val="18"/>
                <w:szCs w:val="18"/>
                <w:lang w:val="nl-NL" w:eastAsia="nl-NL"/>
              </w:rPr>
            </w:pP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Zeer k</w:t>
            </w:r>
            <w:r w:rsidR="00492215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leine groepen</w:t>
            </w:r>
          </w:p>
        </w:tc>
      </w:tr>
      <w:tr w:rsidR="008C2F67" w:rsidRPr="00752D96" w:rsidTr="00831BAA">
        <w:trPr>
          <w:trHeight w:val="983"/>
        </w:trPr>
        <w:tc>
          <w:tcPr>
            <w:tcW w:w="1384" w:type="dxa"/>
          </w:tcPr>
          <w:p w:rsidR="008C2F67" w:rsidRPr="00752D96" w:rsidRDefault="008C2F67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Attilakos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, 2006, Griekenland</w:t>
            </w:r>
          </w:p>
        </w:tc>
        <w:tc>
          <w:tcPr>
            <w:tcW w:w="2835" w:type="dxa"/>
          </w:tcPr>
          <w:p w:rsidR="008C2F67" w:rsidRPr="00752D96" w:rsidRDefault="00780338" w:rsidP="00A4164E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Longitudinaal cohortonderzoek: </w:t>
            </w:r>
            <w:r w:rsidR="008C2F67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52 kinderen die </w:t>
            </w:r>
            <w:r w:rsidR="00E31BF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prospectief </w:t>
            </w:r>
            <w:r w:rsidR="008C2F67" w:rsidRPr="00752D96">
              <w:rPr>
                <w:rFonts w:cs="Arial"/>
                <w:sz w:val="18"/>
                <w:szCs w:val="18"/>
                <w:lang w:val="nl-NL" w:eastAsia="nl-NL"/>
              </w:rPr>
              <w:t>ingesteld worden op monotherapie (valproïnezuur</w:t>
            </w:r>
            <w:r w:rsidR="00A4164E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8C2F67" w:rsidRPr="00752D96">
              <w:rPr>
                <w:rFonts w:cs="Arial"/>
                <w:sz w:val="18"/>
                <w:szCs w:val="18"/>
                <w:lang w:val="nl-NL" w:eastAsia="nl-NL"/>
              </w:rPr>
              <w:t>N=32</w:t>
            </w:r>
            <w:r w:rsidR="00A4164E" w:rsidRPr="00752D96">
              <w:rPr>
                <w:rFonts w:cs="Arial"/>
                <w:sz w:val="18"/>
                <w:szCs w:val="18"/>
                <w:lang w:val="nl-NL" w:eastAsia="nl-NL"/>
              </w:rPr>
              <w:t>, groep 1</w:t>
            </w:r>
            <w:r w:rsidR="008C2F67" w:rsidRPr="00752D96">
              <w:rPr>
                <w:rFonts w:cs="Arial"/>
                <w:sz w:val="18"/>
                <w:szCs w:val="18"/>
                <w:lang w:val="nl-NL" w:eastAsia="nl-NL"/>
              </w:rPr>
              <w:t>) of carbamazepine (N=20</w:t>
            </w:r>
            <w:r w:rsidR="00A4164E" w:rsidRPr="00752D96">
              <w:rPr>
                <w:rFonts w:cs="Arial"/>
                <w:sz w:val="18"/>
                <w:szCs w:val="18"/>
                <w:lang w:val="nl-NL" w:eastAsia="nl-NL"/>
              </w:rPr>
              <w:t>, groep 2</w:t>
            </w:r>
            <w:r w:rsidR="008C2F67" w:rsidRPr="00752D96">
              <w:rPr>
                <w:rFonts w:cs="Arial"/>
                <w:sz w:val="18"/>
                <w:szCs w:val="18"/>
                <w:lang w:val="nl-NL" w:eastAsia="nl-NL"/>
              </w:rPr>
              <w:t>), metingen voor instelling en na 20 weken</w:t>
            </w:r>
          </w:p>
        </w:tc>
        <w:tc>
          <w:tcPr>
            <w:tcW w:w="2268" w:type="dxa"/>
          </w:tcPr>
          <w:p w:rsidR="008C2F67" w:rsidRPr="00752D96" w:rsidRDefault="008C2F67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Stijging van de spiegel in de valproïnezuurgroep, geen verandering in de spiegel van de carbamazepinegroep</w:t>
            </w:r>
          </w:p>
        </w:tc>
        <w:tc>
          <w:tcPr>
            <w:tcW w:w="2126" w:type="dxa"/>
          </w:tcPr>
          <w:p w:rsidR="008C2F67" w:rsidRPr="00752D96" w:rsidRDefault="008C2F67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Stijging van de spiegel in de valproïnezuurgroep, verlaging van de spiegel in de carbamazepinegroep</w:t>
            </w:r>
          </w:p>
        </w:tc>
        <w:tc>
          <w:tcPr>
            <w:tcW w:w="2238" w:type="dxa"/>
          </w:tcPr>
          <w:p w:rsidR="008C2F67" w:rsidRPr="00752D96" w:rsidRDefault="00E31BF3" w:rsidP="007F1BDF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Stijging van de spiegel in groep</w:t>
            </w:r>
            <w:r w:rsidR="007F1BDF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1 en 2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. Significante toename van aantal patiënten met een te hoge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homocysteïnespiegel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in 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valproïnezuurgrep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(van 6,2% naar 25,0%), maar niet in 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carbamazepiengroep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(van 5,0% naar 15,0%)</w:t>
            </w:r>
          </w:p>
        </w:tc>
        <w:tc>
          <w:tcPr>
            <w:tcW w:w="2325" w:type="dxa"/>
          </w:tcPr>
          <w:p w:rsidR="00492215" w:rsidRPr="00752D96" w:rsidRDefault="00C20D9E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Zeer k</w:t>
            </w:r>
            <w:r w:rsidR="00492215" w:rsidRPr="00752D96">
              <w:rPr>
                <w:rFonts w:cs="Arial"/>
                <w:sz w:val="18"/>
                <w:szCs w:val="18"/>
                <w:lang w:val="nl-NL" w:eastAsia="nl-NL"/>
              </w:rPr>
              <w:t>leine groepen;</w:t>
            </w:r>
          </w:p>
          <w:p w:rsidR="008C2F67" w:rsidRPr="00752D96" w:rsidRDefault="008C2F67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Verlaging van de vitamine B6 spiegel in de carbamazepinegroep</w:t>
            </w:r>
          </w:p>
        </w:tc>
      </w:tr>
      <w:tr w:rsidR="00293DDA" w:rsidRPr="00752D96" w:rsidTr="00831BAA">
        <w:trPr>
          <w:trHeight w:val="1355"/>
        </w:trPr>
        <w:tc>
          <w:tcPr>
            <w:tcW w:w="1384" w:type="dxa"/>
          </w:tcPr>
          <w:p w:rsidR="00293DDA" w:rsidRPr="00752D96" w:rsidRDefault="00293DDA" w:rsidP="00293DDA">
            <w:pPr>
              <w:pStyle w:val="Geenafstand"/>
              <w:rPr>
                <w:rFonts w:cs="Arial"/>
                <w:sz w:val="18"/>
                <w:szCs w:val="18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lastRenderedPageBreak/>
              <w:t>Belcastro</w:t>
            </w:r>
            <w:proofErr w:type="spellEnd"/>
            <w:r w:rsidRPr="00752D96">
              <w:rPr>
                <w:rFonts w:cs="Arial"/>
                <w:sz w:val="18"/>
                <w:szCs w:val="18"/>
                <w:lang w:eastAsia="nl-NL"/>
              </w:rPr>
              <w:t xml:space="preserve">, 2010, </w:t>
            </w: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t>Italië</w:t>
            </w:r>
            <w:proofErr w:type="spellEnd"/>
          </w:p>
        </w:tc>
        <w:tc>
          <w:tcPr>
            <w:tcW w:w="2835" w:type="dxa"/>
          </w:tcPr>
          <w:p w:rsidR="00293DDA" w:rsidRPr="00752D96" w:rsidRDefault="00780338" w:rsidP="005A071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151 </w:t>
            </w:r>
            <w:r w:rsidR="00E82D3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volwassen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patiënten </w:t>
            </w:r>
            <w:r w:rsidR="00E82D3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op chronische monotherapie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van oxcarbazepine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(N=45)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, topiramaat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(N=41)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 </w:t>
            </w:r>
            <w:proofErr w:type="spellStart"/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lamotrigine</w:t>
            </w:r>
            <w:proofErr w:type="spellEnd"/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(N=33)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of </w:t>
            </w:r>
            <w:proofErr w:type="spellStart"/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levetiracetam</w:t>
            </w:r>
            <w:proofErr w:type="spellEnd"/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(N=32)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(groep 1), 108 </w:t>
            </w:r>
            <w:r w:rsidR="005A071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volwassen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patiënten met </w:t>
            </w:r>
            <w:r w:rsidR="005A0718" w:rsidRPr="00752D96">
              <w:rPr>
                <w:rFonts w:cs="Arial"/>
                <w:sz w:val="18"/>
                <w:szCs w:val="18"/>
                <w:lang w:val="nl-NL" w:eastAsia="nl-NL"/>
              </w:rPr>
              <w:t>chronische monotherapie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van carbamazepine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(N=40)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fenobarbital</w:t>
            </w:r>
            <w:proofErr w:type="spellEnd"/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(N=31)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of valproïnezuur 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(N=37)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(groep 2) en 231 </w:t>
            </w:r>
            <w:r w:rsidR="005A071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op leeftijd en geslacht </w:t>
            </w:r>
            <w:proofErr w:type="spellStart"/>
            <w:r w:rsidR="005A0718" w:rsidRPr="00752D96">
              <w:rPr>
                <w:rFonts w:cs="Arial"/>
                <w:sz w:val="18"/>
                <w:szCs w:val="18"/>
                <w:lang w:val="nl-NL" w:eastAsia="nl-NL"/>
              </w:rPr>
              <w:t>gematchte</w:t>
            </w:r>
            <w:proofErr w:type="spellEnd"/>
            <w:r w:rsidR="005A071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personen zonder epilepsie en anti-epilepticagebruik (</w:t>
            </w:r>
            <w:r w:rsidR="00B40983" w:rsidRPr="00752D96">
              <w:rPr>
                <w:rFonts w:cs="Arial"/>
                <w:sz w:val="18"/>
                <w:szCs w:val="18"/>
                <w:lang w:val="nl-NL" w:eastAsia="nl-NL"/>
              </w:rPr>
              <w:t>(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controle</w:t>
            </w:r>
            <w:r w:rsidR="00B40983" w:rsidRPr="00752D96">
              <w:rPr>
                <w:rFonts w:cs="Arial"/>
                <w:sz w:val="18"/>
                <w:szCs w:val="18"/>
                <w:lang w:val="nl-NL" w:eastAsia="nl-NL"/>
              </w:rPr>
              <w:t>-)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groep</w:t>
            </w:r>
            <w:r w:rsidR="00B4098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3</w:t>
            </w:r>
            <w:r w:rsidR="00293DDA" w:rsidRPr="00752D96">
              <w:rPr>
                <w:rFonts w:cs="Arial"/>
                <w:sz w:val="18"/>
                <w:szCs w:val="18"/>
                <w:lang w:val="nl-NL" w:eastAsia="nl-NL"/>
              </w:rPr>
              <w:t>).</w:t>
            </w:r>
          </w:p>
        </w:tc>
        <w:tc>
          <w:tcPr>
            <w:tcW w:w="2268" w:type="dxa"/>
          </w:tcPr>
          <w:p w:rsidR="00293DDA" w:rsidRPr="00752D96" w:rsidRDefault="00293DDA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gemiddelde vitamine B 12 spiegel tussen de drie groepen.</w:t>
            </w:r>
          </w:p>
        </w:tc>
        <w:tc>
          <w:tcPr>
            <w:tcW w:w="2126" w:type="dxa"/>
          </w:tcPr>
          <w:p w:rsidR="00293DDA" w:rsidRPr="00752D96" w:rsidRDefault="00293DDA" w:rsidP="00786EAC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De gecombineerde groep 1 en 2 toonde een lagere gemiddelde fol</w:t>
            </w:r>
            <w:r w:rsidR="00786EAC" w:rsidRPr="00752D96">
              <w:rPr>
                <w:rFonts w:cs="Arial"/>
                <w:sz w:val="18"/>
                <w:szCs w:val="18"/>
                <w:lang w:val="nl-NL" w:eastAsia="nl-NL"/>
              </w:rPr>
              <w:t>iumzuur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spiegel dan de controlegroep. </w:t>
            </w:r>
          </w:p>
        </w:tc>
        <w:tc>
          <w:tcPr>
            <w:tcW w:w="2238" w:type="dxa"/>
          </w:tcPr>
          <w:p w:rsidR="00293DDA" w:rsidRPr="00752D96" w:rsidRDefault="00293DDA" w:rsidP="00814EB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De gecombineerde groep 1 en 2 toonde een hogere gemiddelde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homocysteïnewaarde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dan de controlegroep.  Een hoge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homocysteinewaarde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was geassocieerd met gebruik van  carbamazepine,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fenobarbital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topiramaat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en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oxcarbazepine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.</w:t>
            </w:r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Zowel in groep 1 </w:t>
            </w:r>
            <w:r w:rsidR="00657267" w:rsidRPr="00752D96">
              <w:rPr>
                <w:rFonts w:cs="Arial"/>
                <w:sz w:val="18"/>
                <w:szCs w:val="18"/>
                <w:lang w:val="nl-NL" w:eastAsia="nl-NL"/>
              </w:rPr>
              <w:t>(</w:t>
            </w:r>
            <w:r w:rsidR="00EE1FBB" w:rsidRPr="00752D96">
              <w:rPr>
                <w:rFonts w:cs="Arial"/>
                <w:sz w:val="18"/>
                <w:szCs w:val="18"/>
                <w:lang w:val="nl-NL" w:eastAsia="nl-NL"/>
              </w:rPr>
              <w:t>30,5% (</w:t>
            </w:r>
            <w:r w:rsidR="00657267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ARR </w:t>
            </w:r>
            <w:r w:rsidR="0065726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61,3% (95%BI 53,2%-69,5%)</w:t>
            </w:r>
            <w:r w:rsidR="00EE1FBB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)</w:t>
            </w:r>
            <w:r w:rsidR="0065726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 xml:space="preserve">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als groep 2 </w:t>
            </w:r>
            <w:r w:rsidR="00D34F87" w:rsidRPr="00752D96">
              <w:rPr>
                <w:rFonts w:cs="Arial"/>
                <w:sz w:val="18"/>
                <w:szCs w:val="18"/>
                <w:lang w:val="nl-NL" w:eastAsia="nl-NL"/>
              </w:rPr>
              <w:t>(</w:t>
            </w:r>
            <w:r w:rsidR="00713996" w:rsidRPr="00752D96">
              <w:rPr>
                <w:rFonts w:cs="Arial"/>
                <w:sz w:val="18"/>
                <w:szCs w:val="18"/>
                <w:lang w:val="nl-NL" w:eastAsia="nl-NL"/>
              </w:rPr>
              <w:t>47,2% (</w:t>
            </w:r>
            <w:r w:rsidR="00D34F87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ARR </w:t>
            </w:r>
            <w:r w:rsidR="00D34F8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29,7% (95%BI 19</w:t>
            </w:r>
            <w:r w:rsidR="002A0E6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,</w:t>
            </w:r>
            <w:r w:rsidR="00D34F8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9%</w:t>
            </w:r>
            <w:r w:rsidR="002A0E6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-</w:t>
            </w:r>
            <w:r w:rsidR="00D34F8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39</w:t>
            </w:r>
            <w:r w:rsidR="002A0E6D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,6%)</w:t>
            </w:r>
            <w:r w:rsidR="00713996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)</w:t>
            </w:r>
            <w:r w:rsidR="00D34F87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waren meer patiënten met een verhoogde homocysteïnespiegel dan in de controlegroep.</w:t>
            </w:r>
            <w:r w:rsidR="00814EB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Bij carbamazepine was het percentage 62,5, bij topiramaat 65,8 en bij valproïnezuur 8,1.</w:t>
            </w:r>
          </w:p>
        </w:tc>
        <w:tc>
          <w:tcPr>
            <w:tcW w:w="2325" w:type="dxa"/>
          </w:tcPr>
          <w:p w:rsidR="00293DDA" w:rsidRPr="00752D96" w:rsidRDefault="00293DDA" w:rsidP="002A0E6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De gevonden associaties tussen laboratoriumafwijkingen en </w:t>
            </w:r>
            <w:r w:rsidR="002A0E6D" w:rsidRPr="00752D96">
              <w:rPr>
                <w:rFonts w:cs="Arial"/>
                <w:sz w:val="18"/>
                <w:szCs w:val="18"/>
                <w:lang w:val="nl-NL"/>
              </w:rPr>
              <w:t>anti-epilepticagebruik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blijven significant ook na correctie voor het TT677 MTHFR genotype dat een rol speelt  bij de foliumzuurstofwisseling</w:t>
            </w:r>
          </w:p>
        </w:tc>
      </w:tr>
      <w:tr w:rsidR="00A033DA" w:rsidRPr="00752D96" w:rsidTr="00831BAA">
        <w:trPr>
          <w:trHeight w:val="1355"/>
        </w:trPr>
        <w:tc>
          <w:tcPr>
            <w:tcW w:w="1384" w:type="dxa"/>
          </w:tcPr>
          <w:p w:rsidR="00A033DA" w:rsidRPr="00752D96" w:rsidRDefault="00A033DA" w:rsidP="007158E8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Ben</w:t>
            </w:r>
            <w:r w:rsidR="002504B0" w:rsidRPr="00752D96">
              <w:rPr>
                <w:rFonts w:cs="Arial"/>
                <w:sz w:val="18"/>
                <w:szCs w:val="18"/>
                <w:lang w:val="nl-NL" w:eastAsia="nl-NL"/>
              </w:rPr>
              <w:t>t</w:t>
            </w:r>
            <w:r w:rsidR="007158E8" w:rsidRPr="00752D96">
              <w:rPr>
                <w:rFonts w:cs="Arial"/>
                <w:sz w:val="18"/>
                <w:szCs w:val="18"/>
                <w:lang w:val="nl-NL" w:eastAsia="nl-NL"/>
              </w:rPr>
              <w:t>sen</w:t>
            </w:r>
            <w:proofErr w:type="spellEnd"/>
            <w:r w:rsidR="007158E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1983, </w:t>
            </w:r>
            <w:r w:rsidR="007158E8" w:rsidRPr="00752D96">
              <w:rPr>
                <w:rFonts w:cs="Arial"/>
                <w:sz w:val="18"/>
                <w:szCs w:val="18"/>
                <w:lang w:val="nl-NL" w:eastAsia="nl-NL"/>
              </w:rPr>
              <w:t>Denemarken</w:t>
            </w:r>
          </w:p>
        </w:tc>
        <w:tc>
          <w:tcPr>
            <w:tcW w:w="2835" w:type="dxa"/>
          </w:tcPr>
          <w:p w:rsidR="00A033DA" w:rsidRPr="00752D96" w:rsidRDefault="00780338" w:rsidP="0078033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Longitudinaal cohortonderzoek: </w:t>
            </w:r>
            <w:r w:rsidR="002504B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overwegend volwassen </w:t>
            </w:r>
            <w:r w:rsidR="007158E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patiënten op monotherapie met </w:t>
            </w:r>
            <w:r w:rsidR="00A033DA" w:rsidRPr="00752D96">
              <w:rPr>
                <w:rFonts w:cs="Arial"/>
                <w:sz w:val="18"/>
                <w:szCs w:val="18"/>
                <w:lang w:val="nl-NL"/>
              </w:rPr>
              <w:t>carbamazepine</w:t>
            </w:r>
            <w:r w:rsidR="007158E8" w:rsidRPr="00752D96">
              <w:rPr>
                <w:rFonts w:cs="Arial"/>
                <w:sz w:val="18"/>
                <w:szCs w:val="18"/>
                <w:lang w:val="nl-NL"/>
              </w:rPr>
              <w:t xml:space="preserve"> (N=23)</w:t>
            </w:r>
            <w:r w:rsidR="00A033DA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7158E8" w:rsidRPr="00752D96">
              <w:rPr>
                <w:rFonts w:cs="Arial"/>
                <w:sz w:val="18"/>
                <w:szCs w:val="18"/>
                <w:lang w:val="nl-NL"/>
              </w:rPr>
              <w:t>of</w:t>
            </w:r>
            <w:r w:rsidR="00A033DA" w:rsidRPr="00752D96">
              <w:rPr>
                <w:rFonts w:cs="Arial"/>
                <w:sz w:val="18"/>
                <w:szCs w:val="18"/>
                <w:lang w:val="nl-NL"/>
              </w:rPr>
              <w:t xml:space="preserve"> valproïnezuur</w:t>
            </w:r>
            <w:r w:rsidR="007158E8" w:rsidRPr="00752D96">
              <w:rPr>
                <w:rFonts w:cs="Arial"/>
                <w:sz w:val="18"/>
                <w:szCs w:val="18"/>
                <w:lang w:val="nl-NL"/>
              </w:rPr>
              <w:t xml:space="preserve"> (N=8) worden maximaal </w:t>
            </w:r>
            <w:r w:rsidR="007158E8" w:rsidRPr="00752D96">
              <w:rPr>
                <w:rFonts w:cs="Arial"/>
                <w:sz w:val="18"/>
                <w:szCs w:val="18"/>
                <w:lang w:val="nl-NL" w:eastAsia="nl-NL"/>
              </w:rPr>
              <w:t>12 maanden (gemiddeld 6 maanden, minimaal 3 maanden) prospectief gevolgd vanaf instelling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. Metingen vooraf, na 1 maand en na minimaal 3 maanden.</w:t>
            </w:r>
          </w:p>
        </w:tc>
        <w:tc>
          <w:tcPr>
            <w:tcW w:w="2268" w:type="dxa"/>
          </w:tcPr>
          <w:p w:rsidR="00A033DA" w:rsidRPr="00752D96" w:rsidRDefault="00A033DA" w:rsidP="00A033D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A033DA" w:rsidRPr="00752D96" w:rsidRDefault="00A033DA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verandering in gemiddelde spiegels</w:t>
            </w:r>
          </w:p>
        </w:tc>
        <w:tc>
          <w:tcPr>
            <w:tcW w:w="2238" w:type="dxa"/>
          </w:tcPr>
          <w:p w:rsidR="00A033DA" w:rsidRPr="00752D96" w:rsidRDefault="00A033DA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325" w:type="dxa"/>
          </w:tcPr>
          <w:p w:rsidR="00A033DA" w:rsidRPr="00752D96" w:rsidRDefault="00B40983" w:rsidP="00B40983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kleine groepen</w:t>
            </w:r>
          </w:p>
        </w:tc>
      </w:tr>
      <w:tr w:rsidR="00293DDA" w:rsidRPr="00752D96" w:rsidTr="00831BAA">
        <w:trPr>
          <w:trHeight w:val="983"/>
        </w:trPr>
        <w:tc>
          <w:tcPr>
            <w:tcW w:w="1384" w:type="dxa"/>
          </w:tcPr>
          <w:p w:rsidR="00293DDA" w:rsidRPr="00752D96" w:rsidRDefault="00293DDA" w:rsidP="005564C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Bochyńska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, 2012, Polen</w:t>
            </w:r>
          </w:p>
          <w:p w:rsidR="00293DDA" w:rsidRPr="00752D96" w:rsidRDefault="00293DD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835" w:type="dxa"/>
          </w:tcPr>
          <w:p w:rsidR="00293DDA" w:rsidRPr="00752D96" w:rsidRDefault="009F301C" w:rsidP="009F301C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 xml:space="preserve">51 </w:t>
            </w:r>
            <w:r w:rsidR="005A0718" w:rsidRPr="00752D96">
              <w:rPr>
                <w:rFonts w:cs="Arial"/>
                <w:sz w:val="18"/>
                <w:szCs w:val="18"/>
                <w:lang w:val="nl-NL"/>
              </w:rPr>
              <w:t xml:space="preserve">volwassen 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 xml:space="preserve">patiënten met chronische </w:t>
            </w:r>
            <w:r w:rsidR="005A0718" w:rsidRPr="00752D96">
              <w:rPr>
                <w:rFonts w:cs="Arial"/>
                <w:sz w:val="18"/>
                <w:szCs w:val="18"/>
                <w:lang w:val="nl-NL"/>
              </w:rPr>
              <w:t>monotherapie (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>carbamazepine</w:t>
            </w:r>
            <w:r w:rsidR="00932903" w:rsidRPr="00752D96">
              <w:rPr>
                <w:rFonts w:cs="Arial"/>
                <w:sz w:val="18"/>
                <w:szCs w:val="18"/>
                <w:lang w:val="nl-NL"/>
              </w:rPr>
              <w:t xml:space="preserve"> (N=</w:t>
            </w:r>
            <w:r w:rsidR="009D0A76" w:rsidRPr="00752D96">
              <w:rPr>
                <w:rFonts w:cs="Arial"/>
                <w:sz w:val="18"/>
                <w:szCs w:val="18"/>
                <w:lang w:val="nl-NL"/>
              </w:rPr>
              <w:t xml:space="preserve">28) 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 xml:space="preserve">of valproïnezuur </w:t>
            </w:r>
            <w:r w:rsidR="009D0A76" w:rsidRPr="00752D96">
              <w:rPr>
                <w:rFonts w:cs="Arial"/>
                <w:sz w:val="18"/>
                <w:szCs w:val="18"/>
                <w:lang w:val="nl-NL"/>
              </w:rPr>
              <w:t>(N=23)</w:t>
            </w:r>
            <w:r w:rsidR="005A0718" w:rsidRPr="00752D96">
              <w:rPr>
                <w:rFonts w:cs="Arial"/>
                <w:sz w:val="18"/>
                <w:szCs w:val="18"/>
                <w:lang w:val="nl-NL"/>
              </w:rPr>
              <w:t>)</w:t>
            </w:r>
            <w:r w:rsidR="009D0A76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 xml:space="preserve">(groep 1) en 30 </w:t>
            </w:r>
            <w:r w:rsidR="005A0718" w:rsidRPr="00752D96">
              <w:rPr>
                <w:rFonts w:cs="Arial"/>
                <w:sz w:val="18"/>
                <w:szCs w:val="18"/>
                <w:lang w:val="nl-NL"/>
              </w:rPr>
              <w:t xml:space="preserve">volwassen 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>patiënten met nieuw gediagnosticeerde epilepsie zonder eerder anti-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epilepticagebruik (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(controle-)</w:t>
            </w:r>
            <w:r w:rsidR="00293DDA" w:rsidRPr="00752D96">
              <w:rPr>
                <w:rFonts w:cs="Arial"/>
                <w:sz w:val="18"/>
                <w:szCs w:val="18"/>
                <w:lang w:val="nl-NL"/>
              </w:rPr>
              <w:t xml:space="preserve">groep 2). </w:t>
            </w:r>
          </w:p>
        </w:tc>
        <w:tc>
          <w:tcPr>
            <w:tcW w:w="2268" w:type="dxa"/>
          </w:tcPr>
          <w:p w:rsidR="00293DDA" w:rsidRPr="00752D96" w:rsidRDefault="00293DD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Geen verschil in gemiddelde vitamine B12 waarden in beide groepen.</w:t>
            </w:r>
          </w:p>
        </w:tc>
        <w:tc>
          <w:tcPr>
            <w:tcW w:w="2126" w:type="dxa"/>
          </w:tcPr>
          <w:p w:rsidR="00293DDA" w:rsidRPr="00752D96" w:rsidRDefault="00293DDA" w:rsidP="00DC724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gemiddelde foli</w:t>
            </w:r>
            <w:r w:rsidR="00DC7241" w:rsidRPr="00752D96">
              <w:rPr>
                <w:rFonts w:cs="Arial"/>
                <w:sz w:val="18"/>
                <w:szCs w:val="18"/>
                <w:lang w:val="nl-NL"/>
              </w:rPr>
              <w:t>umzuur waarden in beide groepen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  <w:tc>
          <w:tcPr>
            <w:tcW w:w="2238" w:type="dxa"/>
          </w:tcPr>
          <w:p w:rsidR="00293DDA" w:rsidRPr="00752D96" w:rsidRDefault="00293DDA">
            <w:pPr>
              <w:pStyle w:val="Geenafstand"/>
              <w:rPr>
                <w:rFonts w:cs="Arial"/>
                <w:sz w:val="18"/>
                <w:szCs w:val="18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In groep 1 is de gemiddelde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homocysteïnewaarde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verhoogd ten opzichte van groep 2.</w:t>
            </w:r>
            <w:r w:rsidR="0016521A" w:rsidRPr="00752D96">
              <w:rPr>
                <w:rFonts w:cs="Arial"/>
                <w:sz w:val="18"/>
                <w:szCs w:val="18"/>
                <w:lang w:val="nl-NL"/>
              </w:rPr>
              <w:t xml:space="preserve"> Hyperhomocysteïnemie wordt in 39,2% van groep 1 en 13,3% van </w:t>
            </w:r>
            <w:r w:rsidR="0016521A"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groep 2 gevonden (ARR 25,9% (95%BI 7,8%-44,0%)</w:t>
            </w:r>
            <w:r w:rsidR="00932903" w:rsidRPr="00752D96">
              <w:rPr>
                <w:rFonts w:cs="Arial"/>
                <w:sz w:val="18"/>
                <w:szCs w:val="18"/>
                <w:lang w:val="nl-NL"/>
              </w:rPr>
              <w:t xml:space="preserve">. </w:t>
            </w:r>
            <w:proofErr w:type="spellStart"/>
            <w:r w:rsidR="009D0A76" w:rsidRPr="00752D96">
              <w:rPr>
                <w:rFonts w:cs="Arial"/>
                <w:sz w:val="18"/>
                <w:szCs w:val="18"/>
              </w:rPr>
              <w:t>Bij</w:t>
            </w:r>
            <w:proofErr w:type="spellEnd"/>
            <w:r w:rsidR="009D0A76" w:rsidRPr="00752D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9D0A76" w:rsidRPr="00752D96">
              <w:rPr>
                <w:rFonts w:cs="Arial"/>
                <w:sz w:val="18"/>
                <w:szCs w:val="18"/>
              </w:rPr>
              <w:t>carbamazepinegebruikers</w:t>
            </w:r>
            <w:proofErr w:type="spellEnd"/>
            <w:r w:rsidR="009D0A76" w:rsidRPr="00752D96">
              <w:rPr>
                <w:rFonts w:cs="Arial"/>
                <w:sz w:val="18"/>
                <w:szCs w:val="18"/>
              </w:rPr>
              <w:t xml:space="preserve"> 57,1% en </w:t>
            </w:r>
            <w:proofErr w:type="spellStart"/>
            <w:r w:rsidR="009D0A76" w:rsidRPr="00752D96">
              <w:rPr>
                <w:rFonts w:cs="Arial"/>
                <w:sz w:val="18"/>
                <w:szCs w:val="18"/>
              </w:rPr>
              <w:t>bij</w:t>
            </w:r>
            <w:proofErr w:type="spellEnd"/>
            <w:r w:rsidR="009D0A76" w:rsidRPr="00752D9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9D0A76" w:rsidRPr="00752D96">
              <w:rPr>
                <w:rFonts w:cs="Arial"/>
                <w:sz w:val="18"/>
                <w:szCs w:val="18"/>
              </w:rPr>
              <w:t>valproïnezuurgebruikers</w:t>
            </w:r>
            <w:proofErr w:type="spellEnd"/>
            <w:r w:rsidR="009D0A76" w:rsidRPr="00752D96">
              <w:rPr>
                <w:rFonts w:cs="Arial"/>
                <w:sz w:val="18"/>
                <w:szCs w:val="18"/>
              </w:rPr>
              <w:t xml:space="preserve"> 17,4%.</w:t>
            </w:r>
          </w:p>
        </w:tc>
        <w:tc>
          <w:tcPr>
            <w:tcW w:w="2325" w:type="dxa"/>
          </w:tcPr>
          <w:p w:rsidR="00B40983" w:rsidRPr="00752D96" w:rsidRDefault="00A4164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Zeer k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leine groepen;</w:t>
            </w:r>
          </w:p>
          <w:p w:rsidR="00293DDA" w:rsidRPr="00752D96" w:rsidRDefault="00293DD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In groep 1 namen na 1 jaar suppletie met foliumzuur, vitamine B6 en vitamine B12 de score op de BDI, de homocysteïnespiegel en het aantal patiënten met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hyperhomocysteïnemie af, terwijl deze waarden in groep 2, die nu met carbamazepine of valproïnezuur startte maar geen suppletie kreeg, binnen 1 jaar stegen</w:t>
            </w:r>
            <w:r w:rsidR="009D0A76" w:rsidRPr="00752D96">
              <w:rPr>
                <w:rFonts w:cs="Arial"/>
                <w:sz w:val="18"/>
                <w:szCs w:val="18"/>
                <w:lang w:val="nl-NL"/>
              </w:rPr>
              <w:t xml:space="preserve"> (</w:t>
            </w:r>
            <w:r w:rsidR="008C361D" w:rsidRPr="00752D96">
              <w:rPr>
                <w:rFonts w:cs="Arial"/>
                <w:sz w:val="18"/>
                <w:szCs w:val="18"/>
                <w:lang w:val="nl-NL"/>
              </w:rPr>
              <w:t>p</w:t>
            </w:r>
            <w:r w:rsidR="009D0A76" w:rsidRPr="00752D96">
              <w:rPr>
                <w:rFonts w:cs="Arial"/>
                <w:sz w:val="18"/>
                <w:szCs w:val="18"/>
                <w:lang w:val="nl-NL"/>
              </w:rPr>
              <w:t>ercentage patiënten met hyperhomocysteïnemie van 13,3 naar 33,3)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. </w:t>
            </w:r>
          </w:p>
        </w:tc>
      </w:tr>
      <w:tr w:rsidR="00A32F91" w:rsidRPr="00752D96" w:rsidTr="00831BAA">
        <w:trPr>
          <w:trHeight w:val="983"/>
        </w:trPr>
        <w:tc>
          <w:tcPr>
            <w:tcW w:w="1384" w:type="dxa"/>
          </w:tcPr>
          <w:p w:rsidR="00A32F91" w:rsidRPr="00752D96" w:rsidRDefault="00753284" w:rsidP="0054264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Chuang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/>
              </w:rPr>
              <w:t xml:space="preserve">2012,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Taiwan</w:t>
            </w:r>
          </w:p>
        </w:tc>
        <w:tc>
          <w:tcPr>
            <w:tcW w:w="2835" w:type="dxa"/>
          </w:tcPr>
          <w:p w:rsidR="00A32F91" w:rsidRPr="00752D96" w:rsidRDefault="009F301C" w:rsidP="0054264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54264A" w:rsidRPr="00752D96">
              <w:rPr>
                <w:rFonts w:cs="Arial"/>
                <w:sz w:val="18"/>
                <w:szCs w:val="18"/>
                <w:lang w:val="nl-NL"/>
              </w:rPr>
              <w:t xml:space="preserve">Volwassen </w:t>
            </w:r>
            <w:r w:rsidR="00F82BB9" w:rsidRPr="00752D96">
              <w:rPr>
                <w:rFonts w:cs="Arial"/>
                <w:sz w:val="18"/>
                <w:szCs w:val="18"/>
                <w:lang w:val="nl-NL"/>
              </w:rPr>
              <w:t xml:space="preserve">patiënten op chronische monotherapie: 26 met </w:t>
            </w:r>
            <w:r w:rsidR="00A32F91" w:rsidRPr="00752D96">
              <w:rPr>
                <w:rFonts w:cs="Arial"/>
                <w:sz w:val="18"/>
                <w:szCs w:val="18"/>
                <w:lang w:val="nl-NL"/>
              </w:rPr>
              <w:t xml:space="preserve">lamotrigine, 41 met carbamazepine, 54 met valproïnezuur, 39 met </w:t>
            </w:r>
            <w:r w:rsidR="00F82BB9" w:rsidRPr="00752D96">
              <w:rPr>
                <w:rFonts w:cs="Arial"/>
                <w:sz w:val="18"/>
                <w:szCs w:val="18"/>
                <w:lang w:val="nl-NL"/>
              </w:rPr>
              <w:t>fenytoïne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 xml:space="preserve"> (groep 1)</w:t>
            </w:r>
            <w:r w:rsidR="00F82BB9" w:rsidRPr="00752D96">
              <w:rPr>
                <w:rFonts w:cs="Arial"/>
                <w:sz w:val="18"/>
                <w:szCs w:val="18"/>
                <w:lang w:val="nl-NL"/>
              </w:rPr>
              <w:t>; versus</w:t>
            </w:r>
            <w:r w:rsidR="00A32F91" w:rsidRPr="00752D96">
              <w:rPr>
                <w:rFonts w:cs="Arial"/>
                <w:sz w:val="18"/>
                <w:szCs w:val="18"/>
                <w:lang w:val="nl-NL"/>
              </w:rPr>
              <w:t xml:space="preserve"> 60 </w:t>
            </w:r>
            <w:r w:rsidR="00467E98" w:rsidRPr="00752D96">
              <w:rPr>
                <w:rFonts w:cs="Arial"/>
                <w:sz w:val="18"/>
                <w:szCs w:val="18"/>
                <w:lang w:val="nl-NL"/>
              </w:rPr>
              <w:t xml:space="preserve">gezonde </w:t>
            </w:r>
            <w:r w:rsidR="0054264A" w:rsidRPr="00752D96">
              <w:rPr>
                <w:rFonts w:cs="Arial"/>
                <w:sz w:val="18"/>
                <w:szCs w:val="18"/>
                <w:lang w:val="nl-NL"/>
              </w:rPr>
              <w:t>proef</w:t>
            </w:r>
            <w:r w:rsidR="00467E98" w:rsidRPr="00752D96">
              <w:rPr>
                <w:rFonts w:cs="Arial"/>
                <w:sz w:val="18"/>
                <w:szCs w:val="18"/>
                <w:lang w:val="nl-NL"/>
              </w:rPr>
              <w:t>personen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 xml:space="preserve"> (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>(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controle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>-)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groep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 xml:space="preserve"> 2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)</w:t>
            </w:r>
          </w:p>
        </w:tc>
        <w:tc>
          <w:tcPr>
            <w:tcW w:w="2268" w:type="dxa"/>
          </w:tcPr>
          <w:p w:rsidR="00A32F91" w:rsidRPr="00752D96" w:rsidRDefault="00A32F91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A32F91" w:rsidRPr="00752D96" w:rsidRDefault="00467E98" w:rsidP="000833FB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Folaatspiegel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0833FB" w:rsidRPr="00752D96">
              <w:rPr>
                <w:rFonts w:cs="Arial"/>
                <w:sz w:val="18"/>
                <w:szCs w:val="18"/>
                <w:lang w:val="nl-NL"/>
              </w:rPr>
              <w:t xml:space="preserve">zowel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bij carbama</w:t>
            </w:r>
            <w:r w:rsidR="00F95667" w:rsidRPr="00752D96">
              <w:rPr>
                <w:rFonts w:cs="Arial"/>
                <w:sz w:val="18"/>
                <w:szCs w:val="18"/>
                <w:lang w:val="nl-NL"/>
              </w:rPr>
              <w:t>z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epine-, fenytoïne</w:t>
            </w:r>
            <w:r w:rsidR="0054264A" w:rsidRPr="00752D96">
              <w:rPr>
                <w:rFonts w:cs="Arial"/>
                <w:sz w:val="18"/>
                <w:szCs w:val="18"/>
                <w:lang w:val="nl-NL"/>
              </w:rPr>
              <w:t>-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0833FB" w:rsidRPr="00752D96">
              <w:rPr>
                <w:rFonts w:cs="Arial"/>
                <w:sz w:val="18"/>
                <w:szCs w:val="18"/>
                <w:lang w:val="nl-NL"/>
              </w:rPr>
              <w:t>als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0833FB" w:rsidRPr="00752D96">
              <w:rPr>
                <w:rFonts w:cs="Arial"/>
                <w:sz w:val="18"/>
                <w:szCs w:val="18"/>
                <w:lang w:val="nl-NL"/>
              </w:rPr>
              <w:t xml:space="preserve">ook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valproïnezuurgebruikers lager dan bij controlepersonen en gebruikers van lamotrigine</w:t>
            </w:r>
          </w:p>
        </w:tc>
        <w:tc>
          <w:tcPr>
            <w:tcW w:w="2238" w:type="dxa"/>
          </w:tcPr>
          <w:p w:rsidR="00A32F91" w:rsidRPr="00752D96" w:rsidRDefault="00467E98" w:rsidP="0054264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Homocysteïnespiegel bij carbamazepine-, fenytoïne en valproïnezuurgebruikers hoger dan bij controlepersonen en gebruikers van lamotrigine</w:t>
            </w:r>
          </w:p>
        </w:tc>
        <w:tc>
          <w:tcPr>
            <w:tcW w:w="2325" w:type="dxa"/>
          </w:tcPr>
          <w:p w:rsidR="00A32F91" w:rsidRPr="00752D96" w:rsidRDefault="00A4164E" w:rsidP="00A4164E">
            <w:pPr>
              <w:pStyle w:val="Geenafstand"/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Zeer k</w:t>
            </w:r>
            <w:r w:rsidR="00B40983"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leine groepen</w:t>
            </w:r>
          </w:p>
        </w:tc>
      </w:tr>
      <w:tr w:rsidR="00C4507C" w:rsidRPr="00752D96" w:rsidTr="00831BAA">
        <w:trPr>
          <w:trHeight w:val="983"/>
        </w:trPr>
        <w:tc>
          <w:tcPr>
            <w:tcW w:w="1384" w:type="dxa"/>
          </w:tcPr>
          <w:p w:rsidR="00C4507C" w:rsidRPr="00752D96" w:rsidRDefault="009140C2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Deda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, 2003, T</w:t>
            </w:r>
            <w:r w:rsidR="00C4507C" w:rsidRPr="00752D96">
              <w:rPr>
                <w:rFonts w:cs="Arial"/>
                <w:sz w:val="18"/>
                <w:szCs w:val="18"/>
                <w:lang w:val="nl-NL"/>
              </w:rPr>
              <w:t>urkije</w:t>
            </w:r>
          </w:p>
        </w:tc>
        <w:tc>
          <w:tcPr>
            <w:tcW w:w="2835" w:type="dxa"/>
          </w:tcPr>
          <w:p w:rsidR="00C4507C" w:rsidRPr="00752D96" w:rsidRDefault="009F301C" w:rsidP="007F1BD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C4507C" w:rsidRPr="00752D96">
              <w:rPr>
                <w:rFonts w:cs="Arial"/>
                <w:sz w:val="18"/>
                <w:szCs w:val="18"/>
                <w:lang w:val="nl-NL"/>
              </w:rPr>
              <w:t>16 kinderen me</w:t>
            </w:r>
            <w:r w:rsidR="009140C2" w:rsidRPr="00752D96">
              <w:rPr>
                <w:rFonts w:cs="Arial"/>
                <w:sz w:val="18"/>
                <w:szCs w:val="18"/>
                <w:lang w:val="nl-NL"/>
              </w:rPr>
              <w:t>t</w:t>
            </w:r>
            <w:r w:rsidR="00C4507C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9140C2" w:rsidRPr="00752D96">
              <w:rPr>
                <w:rFonts w:cs="Arial"/>
                <w:sz w:val="18"/>
                <w:szCs w:val="18"/>
                <w:lang w:val="nl-NL"/>
              </w:rPr>
              <w:t>chronisch</w:t>
            </w:r>
            <w:r w:rsidR="00C4507C" w:rsidRPr="00752D96">
              <w:rPr>
                <w:rFonts w:cs="Arial"/>
                <w:sz w:val="18"/>
                <w:szCs w:val="18"/>
                <w:lang w:val="nl-NL"/>
              </w:rPr>
              <w:t xml:space="preserve"> gebruik van carbamazepine</w:t>
            </w:r>
            <w:r w:rsidR="009140C2" w:rsidRPr="00752D96">
              <w:rPr>
                <w:rFonts w:cs="Arial"/>
                <w:sz w:val="18"/>
                <w:szCs w:val="18"/>
                <w:lang w:val="nl-NL"/>
              </w:rPr>
              <w:t>-</w:t>
            </w:r>
            <w:r w:rsidR="00C4507C" w:rsidRPr="00752D96">
              <w:rPr>
                <w:rFonts w:cs="Arial"/>
                <w:sz w:val="18"/>
                <w:szCs w:val="18"/>
                <w:lang w:val="nl-NL"/>
              </w:rPr>
              <w:t xml:space="preserve">monotherapie versus 16 gezonde proefpersonen </w:t>
            </w:r>
            <w:proofErr w:type="spellStart"/>
            <w:r w:rsidR="00C4507C" w:rsidRPr="00752D96">
              <w:rPr>
                <w:rFonts w:cs="Arial"/>
                <w:sz w:val="18"/>
                <w:szCs w:val="18"/>
                <w:lang w:val="nl-NL"/>
              </w:rPr>
              <w:t>gematcht</w:t>
            </w:r>
            <w:proofErr w:type="spellEnd"/>
            <w:r w:rsidR="00C4507C" w:rsidRPr="00752D96">
              <w:rPr>
                <w:rFonts w:cs="Arial"/>
                <w:sz w:val="18"/>
                <w:szCs w:val="18"/>
                <w:lang w:val="nl-NL"/>
              </w:rPr>
              <w:t xml:space="preserve"> op leeftijd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 xml:space="preserve"> (control</w:t>
            </w:r>
            <w:r w:rsidR="007F1BDF" w:rsidRPr="00752D96">
              <w:rPr>
                <w:rFonts w:cs="Arial"/>
                <w:sz w:val="18"/>
                <w:szCs w:val="18"/>
                <w:lang w:val="nl-NL"/>
              </w:rPr>
              <w:t>eg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roep)</w:t>
            </w:r>
          </w:p>
        </w:tc>
        <w:tc>
          <w:tcPr>
            <w:tcW w:w="2268" w:type="dxa"/>
          </w:tcPr>
          <w:p w:rsidR="00C4507C" w:rsidRPr="00752D96" w:rsidRDefault="00C4507C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(niet significant) lagere spiegel in carbamazepinegroep</w:t>
            </w:r>
          </w:p>
        </w:tc>
        <w:tc>
          <w:tcPr>
            <w:tcW w:w="2126" w:type="dxa"/>
          </w:tcPr>
          <w:p w:rsidR="00C4507C" w:rsidRPr="00752D96" w:rsidRDefault="00C4507C" w:rsidP="00467E9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Lagere spiegel in carbamazepinegroep</w:t>
            </w:r>
          </w:p>
        </w:tc>
        <w:tc>
          <w:tcPr>
            <w:tcW w:w="2238" w:type="dxa"/>
          </w:tcPr>
          <w:p w:rsidR="00C4507C" w:rsidRPr="00752D96" w:rsidRDefault="00C4507C" w:rsidP="00467E9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325" w:type="dxa"/>
          </w:tcPr>
          <w:p w:rsidR="00C4507C" w:rsidRPr="00752D96" w:rsidRDefault="00B40983" w:rsidP="00144154">
            <w:pPr>
              <w:pStyle w:val="Geenafstand"/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</w:pPr>
            <w:r w:rsidRPr="00752D96">
              <w:rPr>
                <w:rFonts w:eastAsia="+mn-ea" w:cs="Arial"/>
                <w:color w:val="000000"/>
                <w:kern w:val="24"/>
                <w:sz w:val="18"/>
                <w:szCs w:val="18"/>
                <w:lang w:val="nl-NL" w:eastAsia="nl-NL"/>
              </w:rPr>
              <w:t>Zeer kleine groepen</w:t>
            </w:r>
          </w:p>
        </w:tc>
      </w:tr>
      <w:tr w:rsidR="002A0E6D" w:rsidRPr="00752D96" w:rsidTr="00831BAA">
        <w:trPr>
          <w:trHeight w:val="699"/>
        </w:trPr>
        <w:tc>
          <w:tcPr>
            <w:tcW w:w="1384" w:type="dxa"/>
          </w:tcPr>
          <w:p w:rsidR="002A0E6D" w:rsidRPr="00752D96" w:rsidRDefault="002A0E6D" w:rsidP="002A0E6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Fernandez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-Miranda, 2005, Spanje</w:t>
            </w:r>
          </w:p>
        </w:tc>
        <w:tc>
          <w:tcPr>
            <w:tcW w:w="2835" w:type="dxa"/>
          </w:tcPr>
          <w:p w:rsidR="002A0E6D" w:rsidRPr="00752D96" w:rsidRDefault="009F301C" w:rsidP="005564C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98 </w:t>
            </w:r>
            <w:r w:rsidR="005564C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volwassen </w:t>
            </w:r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patiënten en </w:t>
            </w:r>
            <w:r w:rsidR="00660D5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chronisch </w:t>
            </w:r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gebruik van </w:t>
            </w:r>
            <w:proofErr w:type="spellStart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>difenylhydantoïne</w:t>
            </w:r>
            <w:proofErr w:type="spellEnd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>fenobarbital</w:t>
            </w:r>
            <w:proofErr w:type="spellEnd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>primidon</w:t>
            </w:r>
            <w:proofErr w:type="spellEnd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carbamazepine of valproïnezuur (groep 1) en 100 gezonde personen zonder epilepsie en </w:t>
            </w:r>
            <w:proofErr w:type="spellStart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>antiepilepticagebruik</w:t>
            </w:r>
            <w:proofErr w:type="spellEnd"/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</w:t>
            </w:r>
            <w:r w:rsidR="00B40983" w:rsidRPr="00752D96">
              <w:rPr>
                <w:rFonts w:cs="Arial"/>
                <w:sz w:val="18"/>
                <w:szCs w:val="18"/>
                <w:lang w:val="nl-NL" w:eastAsia="nl-NL"/>
              </w:rPr>
              <w:t>(controle-)</w:t>
            </w:r>
            <w:r w:rsidR="002A0E6D" w:rsidRPr="00752D96">
              <w:rPr>
                <w:rFonts w:cs="Arial"/>
                <w:sz w:val="18"/>
                <w:szCs w:val="18"/>
                <w:lang w:val="nl-NL" w:eastAsia="nl-NL"/>
              </w:rPr>
              <w:t>groep 2).</w:t>
            </w:r>
          </w:p>
        </w:tc>
        <w:tc>
          <w:tcPr>
            <w:tcW w:w="2268" w:type="dxa"/>
          </w:tcPr>
          <w:p w:rsidR="002A0E6D" w:rsidRPr="00752D96" w:rsidRDefault="002A0E6D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vitamine B 12 spiegel tussen groep 1 en 2</w:t>
            </w:r>
          </w:p>
        </w:tc>
        <w:tc>
          <w:tcPr>
            <w:tcW w:w="2126" w:type="dxa"/>
          </w:tcPr>
          <w:p w:rsidR="002A0E6D" w:rsidRPr="00752D96" w:rsidRDefault="002A0E6D" w:rsidP="002A0E6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`In groep 1 is de gemiddelde foliumzuurspiegel lager dan in groep 2.  </w:t>
            </w:r>
          </w:p>
        </w:tc>
        <w:tc>
          <w:tcPr>
            <w:tcW w:w="2238" w:type="dxa"/>
          </w:tcPr>
          <w:p w:rsidR="002A0E6D" w:rsidRPr="00752D96" w:rsidRDefault="002A0E6D" w:rsidP="002C3E0C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28 patiënten (28,5%) van groep 1 en 4 personen (4</w:t>
            </w:r>
            <w:r w:rsidR="00870CD4" w:rsidRPr="00752D96">
              <w:rPr>
                <w:rFonts w:cs="Arial"/>
                <w:sz w:val="18"/>
                <w:szCs w:val="18"/>
                <w:lang w:val="nl-NL" w:eastAsia="nl-NL"/>
              </w:rPr>
              <w:t>,0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%) van groep 2  vertoonden een verhoogde homocysteïnespiegel (ARR </w:t>
            </w:r>
            <w:r w:rsidR="00702884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24,6% (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95%</w:t>
            </w:r>
            <w:r w:rsidR="00702884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BI 14,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8%</w:t>
            </w:r>
            <w:r w:rsidR="00702884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-34,</w:t>
            </w:r>
            <w:r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3%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).</w:t>
            </w:r>
            <w:r w:rsidR="002C3E0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De homocysteïnespiegel was negatief geassocieerd met de </w:t>
            </w:r>
            <w:proofErr w:type="spellStart"/>
            <w:r w:rsidR="002C3E0C" w:rsidRPr="00752D96">
              <w:rPr>
                <w:rFonts w:cs="Arial"/>
                <w:sz w:val="18"/>
                <w:szCs w:val="18"/>
                <w:lang w:val="nl-NL" w:eastAsia="nl-NL"/>
              </w:rPr>
              <w:t>folaatspiegel</w:t>
            </w:r>
            <w:proofErr w:type="spellEnd"/>
            <w:r w:rsidR="002C3E0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. </w:t>
            </w:r>
          </w:p>
        </w:tc>
        <w:tc>
          <w:tcPr>
            <w:tcW w:w="2325" w:type="dxa"/>
          </w:tcPr>
          <w:p w:rsidR="002A0E6D" w:rsidRPr="00752D96" w:rsidRDefault="002A0E6D" w:rsidP="0070288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38 patiënten met hyperhomocysteïnemie en zonder vitamine B 12 tekort werden gerandomiseerd naar 3 maanden behandeling met foliumzuur 0,2 mg of 5,2mg. Beide groepen kregen ook 1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microgr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vitamine B12. 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homocysteïnewaarden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daalden</w:t>
            </w:r>
            <w:r w:rsidR="00702884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sterker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na behandeling met de hoge dosis foliumzuur </w:t>
            </w:r>
          </w:p>
        </w:tc>
      </w:tr>
      <w:tr w:rsidR="00CE0738" w:rsidRPr="00752D96" w:rsidTr="00831BAA">
        <w:trPr>
          <w:trHeight w:val="1355"/>
        </w:trPr>
        <w:tc>
          <w:tcPr>
            <w:tcW w:w="1384" w:type="dxa"/>
          </w:tcPr>
          <w:p w:rsidR="00CE0738" w:rsidRPr="00752D96" w:rsidRDefault="00CE0738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>Geda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, 2002, Turkije</w:t>
            </w:r>
          </w:p>
        </w:tc>
        <w:tc>
          <w:tcPr>
            <w:tcW w:w="2835" w:type="dxa"/>
          </w:tcPr>
          <w:p w:rsidR="00CE0738" w:rsidRPr="00752D96" w:rsidRDefault="009F301C" w:rsidP="009F301C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CE0738" w:rsidRPr="00752D96">
              <w:rPr>
                <w:rFonts w:cs="Arial"/>
                <w:sz w:val="18"/>
                <w:szCs w:val="18"/>
                <w:lang w:val="nl-NL"/>
              </w:rPr>
              <w:t xml:space="preserve">26 kinderen </w:t>
            </w:r>
            <w:r w:rsidR="00E6335F" w:rsidRPr="00752D96">
              <w:rPr>
                <w:rFonts w:cs="Arial"/>
                <w:sz w:val="18"/>
                <w:szCs w:val="18"/>
                <w:lang w:val="nl-NL"/>
              </w:rPr>
              <w:t>met</w:t>
            </w:r>
            <w:r w:rsidR="00CE0738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E6335F" w:rsidRPr="00752D96">
              <w:rPr>
                <w:rFonts w:cs="Arial"/>
                <w:sz w:val="18"/>
                <w:szCs w:val="18"/>
                <w:lang w:val="nl-NL"/>
              </w:rPr>
              <w:t xml:space="preserve">chronische </w:t>
            </w:r>
            <w:r w:rsidR="00CE0738" w:rsidRPr="00752D96">
              <w:rPr>
                <w:rFonts w:cs="Arial"/>
                <w:sz w:val="18"/>
                <w:szCs w:val="18"/>
                <w:lang w:val="nl-NL"/>
              </w:rPr>
              <w:t xml:space="preserve">valproïnezuur </w:t>
            </w:r>
            <w:r w:rsidR="00E6335F" w:rsidRPr="00752D96">
              <w:rPr>
                <w:rFonts w:cs="Arial"/>
                <w:sz w:val="18"/>
                <w:szCs w:val="18"/>
                <w:lang w:val="nl-NL"/>
              </w:rPr>
              <w:t>monotherapie</w:t>
            </w:r>
            <w:r w:rsidR="003D4FC9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A4164E" w:rsidRPr="00752D96">
              <w:rPr>
                <w:rFonts w:cs="Arial"/>
                <w:sz w:val="18"/>
                <w:szCs w:val="18"/>
                <w:lang w:val="nl-NL"/>
              </w:rPr>
              <w:t xml:space="preserve">(groep 1) </w:t>
            </w:r>
            <w:r w:rsidR="00CE0738" w:rsidRPr="00752D96">
              <w:rPr>
                <w:rFonts w:cs="Arial"/>
                <w:sz w:val="18"/>
                <w:szCs w:val="18"/>
                <w:lang w:val="nl-NL"/>
              </w:rPr>
              <w:t xml:space="preserve">en 28 op leeftijd </w:t>
            </w:r>
            <w:proofErr w:type="spellStart"/>
            <w:r w:rsidR="00CE0738" w:rsidRPr="00752D96">
              <w:rPr>
                <w:rFonts w:cs="Arial"/>
                <w:sz w:val="18"/>
                <w:szCs w:val="18"/>
                <w:lang w:val="nl-NL"/>
              </w:rPr>
              <w:t>gematchte</w:t>
            </w:r>
            <w:proofErr w:type="spellEnd"/>
            <w:r w:rsidR="00CE0738" w:rsidRPr="00752D96">
              <w:rPr>
                <w:rFonts w:cs="Arial"/>
                <w:sz w:val="18"/>
                <w:szCs w:val="18"/>
                <w:lang w:val="nl-NL"/>
              </w:rPr>
              <w:t xml:space="preserve"> proefpersonen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 xml:space="preserve"> ((controle-)groep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 xml:space="preserve"> 2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)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. </w:t>
            </w:r>
          </w:p>
        </w:tc>
        <w:tc>
          <w:tcPr>
            <w:tcW w:w="2268" w:type="dxa"/>
          </w:tcPr>
          <w:p w:rsidR="00CE0738" w:rsidRPr="00752D96" w:rsidRDefault="00CE0738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significant verschil tussen de twee groepen</w:t>
            </w:r>
          </w:p>
        </w:tc>
        <w:tc>
          <w:tcPr>
            <w:tcW w:w="2126" w:type="dxa"/>
          </w:tcPr>
          <w:p w:rsidR="00CE0738" w:rsidRPr="00752D96" w:rsidRDefault="00CE0738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significant verschil tussen de twee groepen</w:t>
            </w:r>
          </w:p>
        </w:tc>
        <w:tc>
          <w:tcPr>
            <w:tcW w:w="2238" w:type="dxa"/>
          </w:tcPr>
          <w:p w:rsidR="00CE0738" w:rsidRPr="00752D96" w:rsidRDefault="00CE0738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325" w:type="dxa"/>
          </w:tcPr>
          <w:p w:rsidR="00CE0738" w:rsidRPr="00752D96" w:rsidRDefault="00A4164E" w:rsidP="00A4164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</w:t>
            </w:r>
            <w:r w:rsidR="00CE0738" w:rsidRPr="00752D96">
              <w:rPr>
                <w:rFonts w:cs="Arial"/>
                <w:sz w:val="18"/>
                <w:szCs w:val="18"/>
                <w:lang w:val="nl-NL"/>
              </w:rPr>
              <w:t>leine groep</w:t>
            </w:r>
            <w:r w:rsidR="00420C88" w:rsidRPr="00752D96">
              <w:rPr>
                <w:rFonts w:cs="Arial"/>
                <w:sz w:val="18"/>
                <w:szCs w:val="18"/>
                <w:lang w:val="nl-NL"/>
              </w:rPr>
              <w:t>e</w:t>
            </w:r>
            <w:r w:rsidR="00CE0738" w:rsidRPr="00752D96">
              <w:rPr>
                <w:rFonts w:cs="Arial"/>
                <w:sz w:val="18"/>
                <w:szCs w:val="18"/>
                <w:lang w:val="nl-NL"/>
              </w:rPr>
              <w:t>n</w:t>
            </w:r>
          </w:p>
        </w:tc>
      </w:tr>
      <w:tr w:rsidR="0055739C" w:rsidRPr="00752D96" w:rsidTr="00831BAA">
        <w:trPr>
          <w:trHeight w:val="1355"/>
        </w:trPr>
        <w:tc>
          <w:tcPr>
            <w:tcW w:w="1384" w:type="dxa"/>
          </w:tcPr>
          <w:p w:rsidR="0055739C" w:rsidRPr="00752D96" w:rsidRDefault="0055739C" w:rsidP="00C90F12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Gidal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2005,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Verenigde Staten</w:t>
            </w:r>
          </w:p>
        </w:tc>
        <w:tc>
          <w:tcPr>
            <w:tcW w:w="2835" w:type="dxa"/>
          </w:tcPr>
          <w:p w:rsidR="0055739C" w:rsidRPr="00752D96" w:rsidRDefault="009F301C" w:rsidP="00636AC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Longitudinaal cohortonderzoek: </w:t>
            </w:r>
            <w:r w:rsidR="004A06E6" w:rsidRPr="00752D96">
              <w:rPr>
                <w:rFonts w:cs="Arial"/>
                <w:sz w:val="18"/>
                <w:szCs w:val="18"/>
                <w:lang w:val="nl-NL"/>
              </w:rPr>
              <w:t>Prospectieve m</w:t>
            </w:r>
            <w:r w:rsidR="00504598" w:rsidRPr="00752D96">
              <w:rPr>
                <w:rFonts w:cs="Arial"/>
                <w:sz w:val="18"/>
                <w:szCs w:val="18"/>
                <w:lang w:val="nl-NL"/>
              </w:rPr>
              <w:t xml:space="preserve">etingen </w:t>
            </w:r>
            <w:r w:rsidR="004A06E6" w:rsidRPr="00752D96">
              <w:rPr>
                <w:rFonts w:cs="Arial"/>
                <w:sz w:val="18"/>
                <w:szCs w:val="18"/>
                <w:lang w:val="nl-NL"/>
              </w:rPr>
              <w:t xml:space="preserve">voor en </w:t>
            </w:r>
            <w:r w:rsidR="00504598" w:rsidRPr="00752D96">
              <w:rPr>
                <w:rFonts w:cs="Arial"/>
                <w:sz w:val="18"/>
                <w:szCs w:val="18"/>
                <w:lang w:val="nl-NL"/>
              </w:rPr>
              <w:t xml:space="preserve">na 32 weken </w:t>
            </w:r>
            <w:r w:rsidR="004A06E6" w:rsidRPr="00752D96">
              <w:rPr>
                <w:rFonts w:cs="Arial"/>
                <w:sz w:val="18"/>
                <w:szCs w:val="18"/>
                <w:lang w:val="nl-NL"/>
              </w:rPr>
              <w:t>monotherapie</w:t>
            </w:r>
            <w:r w:rsidR="00504598" w:rsidRPr="00752D96">
              <w:rPr>
                <w:rFonts w:cs="Arial"/>
                <w:sz w:val="18"/>
                <w:szCs w:val="18"/>
                <w:lang w:val="nl-NL"/>
              </w:rPr>
              <w:t xml:space="preserve"> van valproïnezuur (N=9) of lamotrigine (N=11)</w:t>
            </w:r>
            <w:r w:rsidR="004A06E6" w:rsidRPr="00752D96">
              <w:rPr>
                <w:rFonts w:cs="Arial"/>
                <w:sz w:val="18"/>
                <w:szCs w:val="18"/>
                <w:lang w:val="nl-NL"/>
              </w:rPr>
              <w:t xml:space="preserve"> bij volwassenen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 Metingen vooraf en na 32 weken.</w:t>
            </w:r>
          </w:p>
        </w:tc>
        <w:tc>
          <w:tcPr>
            <w:tcW w:w="2268" w:type="dxa"/>
          </w:tcPr>
          <w:p w:rsidR="0055739C" w:rsidRPr="00752D96" w:rsidRDefault="00504598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Toename van gemiddelde spiegel in de valproïnezuu</w:t>
            </w:r>
            <w:r w:rsidR="009F301C" w:rsidRPr="00752D96">
              <w:rPr>
                <w:rFonts w:cs="Arial"/>
                <w:sz w:val="18"/>
                <w:szCs w:val="18"/>
                <w:lang w:val="nl-NL"/>
              </w:rPr>
              <w:t>r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groep.</w:t>
            </w:r>
          </w:p>
        </w:tc>
        <w:tc>
          <w:tcPr>
            <w:tcW w:w="2126" w:type="dxa"/>
          </w:tcPr>
          <w:p w:rsidR="0055739C" w:rsidRPr="00752D96" w:rsidRDefault="00504598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Trend voor afname van de gemiddel</w:t>
            </w:r>
            <w:r w:rsidR="004A06E6" w:rsidRPr="00752D96">
              <w:rPr>
                <w:rFonts w:cs="Arial"/>
                <w:sz w:val="18"/>
                <w:szCs w:val="18"/>
                <w:lang w:val="nl-NL"/>
              </w:rPr>
              <w:t>d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e rode cellen foliumzuurspiegel in 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valproïnezuugroep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  <w:tc>
          <w:tcPr>
            <w:tcW w:w="2238" w:type="dxa"/>
          </w:tcPr>
          <w:p w:rsidR="0055739C" w:rsidRPr="00752D96" w:rsidRDefault="00504598" w:rsidP="00504598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Afname van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gemiddele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spiegel in 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valproïnezuugroep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  <w:tc>
          <w:tcPr>
            <w:tcW w:w="2325" w:type="dxa"/>
          </w:tcPr>
          <w:p w:rsidR="0055739C" w:rsidRPr="00752D96" w:rsidRDefault="00504598" w:rsidP="00B40983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Zeer kleine 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groepen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</w:tr>
      <w:tr w:rsidR="00257F35" w:rsidRPr="00752D96" w:rsidTr="00831BAA">
        <w:trPr>
          <w:trHeight w:val="841"/>
        </w:trPr>
        <w:tc>
          <w:tcPr>
            <w:tcW w:w="1384" w:type="dxa"/>
          </w:tcPr>
          <w:p w:rsidR="00257F35" w:rsidRPr="00752D96" w:rsidRDefault="00257F35" w:rsidP="0048250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Goggin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1987,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Ierland</w:t>
            </w:r>
          </w:p>
        </w:tc>
        <w:tc>
          <w:tcPr>
            <w:tcW w:w="2835" w:type="dxa"/>
          </w:tcPr>
          <w:p w:rsidR="00257F35" w:rsidRPr="00752D96" w:rsidRDefault="009F301C" w:rsidP="0048250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 xml:space="preserve">Monotherapie van volwassen patiënten met 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>carbamazepine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 xml:space="preserve"> (N=50)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>, fenytoïne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 xml:space="preserve"> (N=52) of 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>valproïnezuur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 xml:space="preserve"> (N=22)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 xml:space="preserve"> (groep 1)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 xml:space="preserve">; 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>76 patiënten met polytherapie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 xml:space="preserve"> (groep 2)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 xml:space="preserve"> en 7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>2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482504" w:rsidRPr="00752D96">
              <w:rPr>
                <w:rFonts w:cs="Arial"/>
                <w:sz w:val="18"/>
                <w:szCs w:val="18"/>
                <w:lang w:val="nl-NL"/>
              </w:rPr>
              <w:t>proefpersonen</w:t>
            </w:r>
            <w:r w:rsidR="00257F35" w:rsidRPr="00752D96">
              <w:rPr>
                <w:rFonts w:cs="Arial"/>
                <w:sz w:val="18"/>
                <w:szCs w:val="18"/>
                <w:lang w:val="nl-NL"/>
              </w:rPr>
              <w:t xml:space="preserve"> zonder anti-epileptica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 xml:space="preserve"> (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>(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controle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>-)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groep</w:t>
            </w:r>
            <w:r w:rsidR="007D6EE3" w:rsidRPr="00752D96">
              <w:rPr>
                <w:rFonts w:cs="Arial"/>
                <w:sz w:val="18"/>
                <w:szCs w:val="18"/>
                <w:lang w:val="nl-NL"/>
              </w:rPr>
              <w:t xml:space="preserve"> 3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)</w:t>
            </w:r>
          </w:p>
        </w:tc>
        <w:tc>
          <w:tcPr>
            <w:tcW w:w="2268" w:type="dxa"/>
          </w:tcPr>
          <w:p w:rsidR="00257F35" w:rsidRPr="00752D96" w:rsidRDefault="00257F35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257F35" w:rsidRPr="00752D96" w:rsidRDefault="00B030BD" w:rsidP="00636AC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Rode cellen foliumzuur lager bij patiënten op carbamazepine dan bij controle</w:t>
            </w:r>
            <w:r w:rsidR="00636ACF" w:rsidRPr="00752D96">
              <w:rPr>
                <w:rFonts w:cs="Arial"/>
                <w:sz w:val="18"/>
                <w:szCs w:val="18"/>
                <w:lang w:val="nl-NL"/>
              </w:rPr>
              <w:t>groep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. Geen verschil bij patiënten op valproïnezuur. </w:t>
            </w:r>
          </w:p>
        </w:tc>
        <w:tc>
          <w:tcPr>
            <w:tcW w:w="2238" w:type="dxa"/>
          </w:tcPr>
          <w:p w:rsidR="00257F35" w:rsidRPr="00752D96" w:rsidRDefault="00257F35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325" w:type="dxa"/>
          </w:tcPr>
          <w:p w:rsidR="00B40983" w:rsidRPr="00752D96" w:rsidRDefault="00B40983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groepen;</w:t>
            </w:r>
          </w:p>
          <w:p w:rsidR="00257F35" w:rsidRPr="00752D96" w:rsidRDefault="00B030BD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Bij alle patiëntengroepen lagere dieet-intake van foliumzuur dan bij controlegroep, maar geen samenhang tussen intake en foliumzuurspiegel. </w:t>
            </w:r>
          </w:p>
        </w:tc>
      </w:tr>
      <w:tr w:rsidR="00A32F91" w:rsidRPr="00752D96" w:rsidTr="008E6143">
        <w:trPr>
          <w:trHeight w:val="1105"/>
        </w:trPr>
        <w:tc>
          <w:tcPr>
            <w:tcW w:w="1384" w:type="dxa"/>
          </w:tcPr>
          <w:p w:rsidR="00A32F91" w:rsidRPr="00752D96" w:rsidRDefault="00A32F91" w:rsidP="008B1F43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Hauser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1996,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Oostenrijk</w:t>
            </w:r>
          </w:p>
        </w:tc>
        <w:tc>
          <w:tcPr>
            <w:tcW w:w="2835" w:type="dxa"/>
          </w:tcPr>
          <w:p w:rsidR="00A32F91" w:rsidRPr="00752D96" w:rsidRDefault="009F301C" w:rsidP="00CA1B6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Longitudinaal cohortonderzoek: </w:t>
            </w:r>
            <w:r w:rsidR="00A32F91" w:rsidRPr="00752D96">
              <w:rPr>
                <w:rFonts w:cs="Arial"/>
                <w:sz w:val="18"/>
                <w:szCs w:val="18"/>
                <w:lang w:val="nl-NL"/>
              </w:rPr>
              <w:t>29 kinderen worden ingesteld op valproïnezuur</w:t>
            </w:r>
            <w:r w:rsidR="008B1F43" w:rsidRPr="00752D96">
              <w:rPr>
                <w:rFonts w:cs="Arial"/>
                <w:sz w:val="18"/>
                <w:szCs w:val="18"/>
                <w:lang w:val="nl-NL"/>
              </w:rPr>
              <w:t xml:space="preserve"> en spiegels bepaald voor be</w:t>
            </w:r>
            <w:r w:rsidR="00CA1B66" w:rsidRPr="00752D96">
              <w:rPr>
                <w:rFonts w:cs="Arial"/>
                <w:sz w:val="18"/>
                <w:szCs w:val="18"/>
                <w:lang w:val="nl-NL"/>
              </w:rPr>
              <w:t>g</w:t>
            </w:r>
            <w:r w:rsidR="008B1F43" w:rsidRPr="00752D96">
              <w:rPr>
                <w:rFonts w:cs="Arial"/>
                <w:sz w:val="18"/>
                <w:szCs w:val="18"/>
                <w:lang w:val="nl-NL"/>
              </w:rPr>
              <w:t>in, na 3, 6 en 9 weken monotherapie</w:t>
            </w:r>
          </w:p>
        </w:tc>
        <w:tc>
          <w:tcPr>
            <w:tcW w:w="2268" w:type="dxa"/>
          </w:tcPr>
          <w:p w:rsidR="00A32F91" w:rsidRPr="00752D96" w:rsidRDefault="00A32F91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Toename vitamine B12 spiegel</w:t>
            </w:r>
          </w:p>
        </w:tc>
        <w:tc>
          <w:tcPr>
            <w:tcW w:w="2126" w:type="dxa"/>
          </w:tcPr>
          <w:p w:rsidR="00A32F91" w:rsidRPr="00752D96" w:rsidRDefault="00A32F91" w:rsidP="00A32F9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verandering</w:t>
            </w:r>
          </w:p>
        </w:tc>
        <w:tc>
          <w:tcPr>
            <w:tcW w:w="2238" w:type="dxa"/>
          </w:tcPr>
          <w:p w:rsidR="00A32F91" w:rsidRPr="00752D96" w:rsidRDefault="00A32F91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325" w:type="dxa"/>
          </w:tcPr>
          <w:p w:rsidR="00A32F91" w:rsidRPr="00752D96" w:rsidRDefault="00B40983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Zeer kleine groep; </w:t>
            </w:r>
            <w:r w:rsidR="00876986" w:rsidRPr="00752D96">
              <w:rPr>
                <w:rFonts w:cs="Arial"/>
                <w:sz w:val="18"/>
                <w:szCs w:val="18"/>
                <w:lang w:val="nl-NL"/>
              </w:rPr>
              <w:t>Korte observatieperiode</w:t>
            </w:r>
          </w:p>
        </w:tc>
      </w:tr>
      <w:tr w:rsidR="00686A2E" w:rsidRPr="00752D96" w:rsidTr="00831BAA">
        <w:trPr>
          <w:trHeight w:val="1355"/>
        </w:trPr>
        <w:tc>
          <w:tcPr>
            <w:tcW w:w="1384" w:type="dxa"/>
          </w:tcPr>
          <w:p w:rsidR="00686A2E" w:rsidRPr="00752D96" w:rsidRDefault="00686A2E" w:rsidP="002504B0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Iso</w:t>
            </w:r>
            <w:r w:rsidR="002504B0" w:rsidRPr="00752D96">
              <w:rPr>
                <w:rFonts w:cs="Arial"/>
                <w:sz w:val="18"/>
                <w:szCs w:val="18"/>
                <w:lang w:val="nl-NL" w:eastAsia="nl-NL"/>
              </w:rPr>
              <w:t>järvi</w:t>
            </w:r>
            <w:proofErr w:type="spellEnd"/>
            <w:r w:rsidR="002504B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1997, </w:t>
            </w:r>
            <w:r w:rsidR="002504B0" w:rsidRPr="00752D96">
              <w:rPr>
                <w:rFonts w:cs="Arial"/>
                <w:sz w:val="18"/>
                <w:szCs w:val="18"/>
                <w:lang w:val="nl-NL" w:eastAsia="nl-NL"/>
              </w:rPr>
              <w:t>Finland</w:t>
            </w:r>
          </w:p>
        </w:tc>
        <w:tc>
          <w:tcPr>
            <w:tcW w:w="2835" w:type="dxa"/>
          </w:tcPr>
          <w:p w:rsidR="00686A2E" w:rsidRPr="00752D96" w:rsidRDefault="00875B8F" w:rsidP="00875B8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Longitudinaal cohortonderzoek: </w:t>
            </w:r>
            <w:r w:rsidR="00A32F91" w:rsidRPr="00752D96">
              <w:rPr>
                <w:rFonts w:cs="Arial"/>
                <w:sz w:val="18"/>
                <w:szCs w:val="18"/>
                <w:lang w:val="nl-NL"/>
              </w:rPr>
              <w:t>1</w:t>
            </w:r>
            <w:r w:rsidR="00060D41" w:rsidRPr="00752D96">
              <w:rPr>
                <w:rFonts w:cs="Arial"/>
                <w:sz w:val="18"/>
                <w:szCs w:val="18"/>
                <w:lang w:val="nl-NL"/>
              </w:rPr>
              <w:t xml:space="preserve">2 </w:t>
            </w:r>
            <w:r w:rsidR="002504B0" w:rsidRPr="00752D96">
              <w:rPr>
                <w:rFonts w:cs="Arial"/>
                <w:sz w:val="18"/>
                <w:szCs w:val="18"/>
                <w:lang w:val="nl-NL"/>
              </w:rPr>
              <w:t xml:space="preserve">volwassen </w:t>
            </w:r>
            <w:r w:rsidR="00060D41" w:rsidRPr="00752D96">
              <w:rPr>
                <w:rFonts w:cs="Arial"/>
                <w:sz w:val="18"/>
                <w:szCs w:val="18"/>
                <w:lang w:val="nl-NL"/>
              </w:rPr>
              <w:t xml:space="preserve">patiënten met carbamazepine, bij </w:t>
            </w:r>
            <w:r w:rsidR="00A32F91" w:rsidRPr="00752D96">
              <w:rPr>
                <w:rFonts w:cs="Arial"/>
                <w:sz w:val="18"/>
                <w:szCs w:val="18"/>
                <w:lang w:val="nl-NL"/>
              </w:rPr>
              <w:t>wie</w:t>
            </w:r>
            <w:r w:rsidR="002504B0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060D41" w:rsidRPr="00752D96">
              <w:rPr>
                <w:rFonts w:cs="Arial"/>
                <w:sz w:val="18"/>
                <w:szCs w:val="18"/>
                <w:lang w:val="nl-NL"/>
              </w:rPr>
              <w:t xml:space="preserve">deze wordt vervangen door </w:t>
            </w:r>
            <w:proofErr w:type="spellStart"/>
            <w:r w:rsidR="00060D41" w:rsidRPr="00752D96">
              <w:rPr>
                <w:rFonts w:cs="Arial"/>
                <w:sz w:val="18"/>
                <w:szCs w:val="18"/>
                <w:lang w:val="nl-NL"/>
              </w:rPr>
              <w:t>oxcarbamaze</w:t>
            </w:r>
            <w:r w:rsidR="00A32F91" w:rsidRPr="00752D96">
              <w:rPr>
                <w:rFonts w:cs="Arial"/>
                <w:sz w:val="18"/>
                <w:szCs w:val="18"/>
                <w:lang w:val="nl-NL"/>
              </w:rPr>
              <w:t>p</w:t>
            </w:r>
            <w:r w:rsidR="00060D41" w:rsidRPr="00752D96">
              <w:rPr>
                <w:rFonts w:cs="Arial"/>
                <w:sz w:val="18"/>
                <w:szCs w:val="18"/>
                <w:lang w:val="nl-NL"/>
              </w:rPr>
              <w:t>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worden prospectief gevolgd. Metingen vooraf, na 2 en 6 maanden.</w:t>
            </w:r>
          </w:p>
        </w:tc>
        <w:tc>
          <w:tcPr>
            <w:tcW w:w="2268" w:type="dxa"/>
          </w:tcPr>
          <w:p w:rsidR="00686A2E" w:rsidRPr="00752D96" w:rsidRDefault="00060D41" w:rsidP="00060D4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Toename van vitamine B12 spiegel </w:t>
            </w:r>
          </w:p>
        </w:tc>
        <w:tc>
          <w:tcPr>
            <w:tcW w:w="2126" w:type="dxa"/>
          </w:tcPr>
          <w:p w:rsidR="00686A2E" w:rsidRPr="00752D96" w:rsidRDefault="00060D41" w:rsidP="0076533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Toename van rode cellen foliumzuurspiegel  </w:t>
            </w:r>
          </w:p>
        </w:tc>
        <w:tc>
          <w:tcPr>
            <w:tcW w:w="2238" w:type="dxa"/>
          </w:tcPr>
          <w:p w:rsidR="00686A2E" w:rsidRPr="00752D96" w:rsidRDefault="00686A2E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325" w:type="dxa"/>
          </w:tcPr>
          <w:p w:rsidR="00686A2E" w:rsidRPr="00752D96" w:rsidRDefault="00B40983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kleine groep</w:t>
            </w:r>
          </w:p>
        </w:tc>
      </w:tr>
      <w:tr w:rsidR="00535121" w:rsidRPr="00752D96" w:rsidTr="00831BAA">
        <w:trPr>
          <w:trHeight w:val="416"/>
        </w:trPr>
        <w:tc>
          <w:tcPr>
            <w:tcW w:w="1384" w:type="dxa"/>
          </w:tcPr>
          <w:p w:rsidR="00535121" w:rsidRPr="00752D96" w:rsidRDefault="00535121" w:rsidP="00D0234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Karabiber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, 2003, Turkije</w:t>
            </w:r>
          </w:p>
          <w:p w:rsidR="00535121" w:rsidRPr="00752D96" w:rsidRDefault="00535121" w:rsidP="00060D41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835" w:type="dxa"/>
          </w:tcPr>
          <w:p w:rsidR="00535121" w:rsidRPr="00752D96" w:rsidRDefault="00875B8F" w:rsidP="00636AC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36 kinderen </w:t>
            </w:r>
            <w:r w:rsidR="00660D5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op 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660D5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chronische monotherapie met  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carbamazepine, 30 </w:t>
            </w:r>
            <w:r w:rsidR="00660D50" w:rsidRPr="00752D96">
              <w:rPr>
                <w:rFonts w:cs="Arial"/>
                <w:sz w:val="18"/>
                <w:szCs w:val="18"/>
                <w:lang w:val="nl-NL" w:eastAsia="nl-NL"/>
              </w:rPr>
              <w:t>met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valproïnezuur </w:t>
            </w:r>
            <w:r w:rsidR="007D6EE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>en 29 kinderen zonder epilepsie en anti-epileptica (controlegroep).</w:t>
            </w:r>
          </w:p>
        </w:tc>
        <w:tc>
          <w:tcPr>
            <w:tcW w:w="2268" w:type="dxa"/>
          </w:tcPr>
          <w:p w:rsidR="00535121" w:rsidRPr="00752D96" w:rsidRDefault="00535121" w:rsidP="00D0234E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De gemiddelde serum B12 waarde was niet lager in de valproïnezuurgroep dan de controlegroep maar wel in de carbamazepine groep t.o.v. de controlegroep </w:t>
            </w:r>
          </w:p>
          <w:p w:rsidR="00535121" w:rsidRPr="00752D96" w:rsidRDefault="00535121" w:rsidP="00060D4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535121" w:rsidRPr="00752D96" w:rsidRDefault="00535121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De gemiddelde serum foliumzuurwaarden waren zowel in de valproïnezuur- als ook de carbamazepinegroep lager dan in de controlegroep </w:t>
            </w:r>
          </w:p>
        </w:tc>
        <w:tc>
          <w:tcPr>
            <w:tcW w:w="2238" w:type="dxa"/>
          </w:tcPr>
          <w:p w:rsidR="00535121" w:rsidRPr="00752D96" w:rsidRDefault="00535121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De gemiddelde serum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homocysteïnewaarden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in de carbamazepine- en valproïnezuurgroep waren hoger dan in de controlegroep. In de carbamazepinegroep werd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hyperhomo</w:t>
            </w:r>
            <w:r w:rsidR="007D31D9" w:rsidRPr="00752D96">
              <w:rPr>
                <w:rFonts w:cs="Arial"/>
                <w:sz w:val="18"/>
                <w:szCs w:val="18"/>
                <w:lang w:val="nl-NL" w:eastAsia="nl-NL"/>
              </w:rPr>
              <w:t>-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cysteïnemie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gevonden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>bij 23,3% (95%BI 11,5-41,2) en in de valproïnezuur</w:t>
            </w:r>
            <w:r w:rsidR="007D31D9" w:rsidRPr="00752D96">
              <w:rPr>
                <w:rFonts w:cs="Arial"/>
                <w:sz w:val="18"/>
                <w:szCs w:val="18"/>
                <w:lang w:val="nl-NL" w:eastAsia="nl-NL"/>
              </w:rPr>
              <w:t>-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groep bij 30,6% (95%BI 17,9-47,0). </w:t>
            </w:r>
          </w:p>
        </w:tc>
        <w:tc>
          <w:tcPr>
            <w:tcW w:w="2325" w:type="dxa"/>
          </w:tcPr>
          <w:p w:rsidR="00B40983" w:rsidRPr="00752D96" w:rsidRDefault="00A4164E" w:rsidP="00A4164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lastRenderedPageBreak/>
              <w:t>Zeer k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leine groepen</w:t>
            </w:r>
          </w:p>
        </w:tc>
      </w:tr>
      <w:tr w:rsidR="00D33CE7" w:rsidRPr="00752D96" w:rsidTr="00831BAA">
        <w:trPr>
          <w:trHeight w:val="1355"/>
        </w:trPr>
        <w:tc>
          <w:tcPr>
            <w:tcW w:w="1384" w:type="dxa"/>
          </w:tcPr>
          <w:p w:rsidR="00D33CE7" w:rsidRPr="00752D96" w:rsidRDefault="003D5953" w:rsidP="008A784B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Keenan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2014,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Nieuw Zeeland</w:t>
            </w:r>
          </w:p>
        </w:tc>
        <w:tc>
          <w:tcPr>
            <w:tcW w:w="2835" w:type="dxa"/>
          </w:tcPr>
          <w:p w:rsidR="00D33CE7" w:rsidRPr="00752D96" w:rsidRDefault="00875B8F" w:rsidP="00636ACF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B40983" w:rsidRPr="00752D96">
              <w:rPr>
                <w:rFonts w:cs="Arial"/>
                <w:sz w:val="18"/>
                <w:szCs w:val="18"/>
                <w:lang w:val="nl-NL"/>
              </w:rPr>
              <w:t>K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inderen op 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chronische mono- </w:t>
            </w:r>
            <w:r w:rsidR="009C1EDF" w:rsidRPr="00752D96">
              <w:rPr>
                <w:rFonts w:cs="Arial"/>
                <w:sz w:val="18"/>
                <w:szCs w:val="18"/>
                <w:lang w:val="nl-NL"/>
              </w:rPr>
              <w:t xml:space="preserve">therapie 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>met anti-</w:t>
            </w:r>
            <w:r w:rsidR="002F649F" w:rsidRPr="00752D96">
              <w:rPr>
                <w:rFonts w:cs="Arial"/>
                <w:sz w:val="18"/>
                <w:szCs w:val="18"/>
                <w:lang w:val="nl-NL"/>
              </w:rPr>
              <w:t>epileptica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 (N=14 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>valproïnezuur</w:t>
            </w:r>
            <w:r w:rsidR="008A784B" w:rsidRPr="00752D96">
              <w:rPr>
                <w:rFonts w:cs="Arial"/>
                <w:sz w:val="18"/>
                <w:szCs w:val="18"/>
                <w:lang w:val="nl-NL"/>
              </w:rPr>
              <w:t xml:space="preserve"> (waarvan 2 met een tweede an</w:t>
            </w:r>
            <w:r w:rsidR="00B8428B" w:rsidRPr="00752D96">
              <w:rPr>
                <w:rFonts w:cs="Arial"/>
                <w:sz w:val="18"/>
                <w:szCs w:val="18"/>
                <w:lang w:val="nl-NL"/>
              </w:rPr>
              <w:t>t</w:t>
            </w:r>
            <w:r w:rsidR="008A784B" w:rsidRPr="00752D96">
              <w:rPr>
                <w:rFonts w:cs="Arial"/>
                <w:sz w:val="18"/>
                <w:szCs w:val="18"/>
                <w:lang w:val="nl-NL"/>
              </w:rPr>
              <w:t>i</w:t>
            </w:r>
            <w:r w:rsidR="00B8428B" w:rsidRPr="00752D96">
              <w:rPr>
                <w:rFonts w:cs="Arial"/>
                <w:sz w:val="18"/>
                <w:szCs w:val="18"/>
                <w:lang w:val="nl-NL"/>
              </w:rPr>
              <w:t>-</w:t>
            </w:r>
            <w:r w:rsidR="008A784B" w:rsidRPr="00752D96">
              <w:rPr>
                <w:rFonts w:cs="Arial"/>
                <w:sz w:val="18"/>
                <w:szCs w:val="18"/>
                <w:lang w:val="nl-NL"/>
              </w:rPr>
              <w:t>epilepticum)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; N=9 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>carbamazepine</w:t>
            </w:r>
            <w:r w:rsidR="008A784B" w:rsidRPr="00752D96">
              <w:rPr>
                <w:rFonts w:cs="Arial"/>
                <w:sz w:val="18"/>
                <w:szCs w:val="18"/>
                <w:lang w:val="nl-NL"/>
              </w:rPr>
              <w:t xml:space="preserve"> (waarvan 2 met een tweede anti-epilepticum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>)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versus 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30 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naar leeftijd, </w:t>
            </w:r>
            <w:r w:rsidR="008A784B" w:rsidRPr="00752D96">
              <w:rPr>
                <w:rFonts w:cs="Arial"/>
                <w:sz w:val="18"/>
                <w:szCs w:val="18"/>
                <w:lang w:val="nl-NL"/>
              </w:rPr>
              <w:t>geslacht</w:t>
            </w:r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 en BMI </w:t>
            </w:r>
            <w:proofErr w:type="spellStart"/>
            <w:r w:rsidR="002E067A" w:rsidRPr="00752D96">
              <w:rPr>
                <w:rFonts w:cs="Arial"/>
                <w:sz w:val="18"/>
                <w:szCs w:val="18"/>
                <w:lang w:val="nl-NL"/>
              </w:rPr>
              <w:t>gematchte</w:t>
            </w:r>
            <w:proofErr w:type="spellEnd"/>
            <w:r w:rsidR="002E067A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>kinderen zonder anti-epilepticagebruik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 xml:space="preserve"> (controlegroe</w:t>
            </w:r>
            <w:r w:rsidR="00636ACF" w:rsidRPr="00752D96">
              <w:rPr>
                <w:rFonts w:cs="Arial"/>
                <w:sz w:val="18"/>
                <w:szCs w:val="18"/>
                <w:lang w:val="nl-NL"/>
              </w:rPr>
              <w:t>p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>)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. </w:t>
            </w:r>
          </w:p>
        </w:tc>
        <w:tc>
          <w:tcPr>
            <w:tcW w:w="2268" w:type="dxa"/>
          </w:tcPr>
          <w:p w:rsidR="00D33CE7" w:rsidRPr="00752D96" w:rsidRDefault="00D33CE7" w:rsidP="003218A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tussen carbamazepin</w:t>
            </w:r>
            <w:r w:rsidR="003218AD" w:rsidRPr="00752D96">
              <w:rPr>
                <w:rFonts w:cs="Arial"/>
                <w:sz w:val="18"/>
                <w:szCs w:val="18"/>
                <w:lang w:val="nl-NL"/>
              </w:rPr>
              <w:t>e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groep en controlegroep. Hogere spiegel in valproïnezuurgr</w:t>
            </w:r>
            <w:r w:rsidR="003218AD" w:rsidRPr="00752D96">
              <w:rPr>
                <w:rFonts w:cs="Arial"/>
                <w:sz w:val="18"/>
                <w:szCs w:val="18"/>
                <w:lang w:val="nl-NL"/>
              </w:rPr>
              <w:t>o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ep dan controlegroep</w:t>
            </w:r>
          </w:p>
        </w:tc>
        <w:tc>
          <w:tcPr>
            <w:tcW w:w="2126" w:type="dxa"/>
          </w:tcPr>
          <w:p w:rsidR="00D33CE7" w:rsidRPr="00752D96" w:rsidRDefault="003218AD" w:rsidP="003218A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verschil tussen de groepen </w:t>
            </w:r>
          </w:p>
        </w:tc>
        <w:tc>
          <w:tcPr>
            <w:tcW w:w="2238" w:type="dxa"/>
          </w:tcPr>
          <w:p w:rsidR="00D33CE7" w:rsidRPr="00752D96" w:rsidRDefault="003218AD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tussen de groepen</w:t>
            </w:r>
          </w:p>
        </w:tc>
        <w:tc>
          <w:tcPr>
            <w:tcW w:w="2325" w:type="dxa"/>
          </w:tcPr>
          <w:p w:rsidR="00D33CE7" w:rsidRPr="00752D96" w:rsidRDefault="00A4164E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kleine groepen</w:t>
            </w:r>
          </w:p>
        </w:tc>
      </w:tr>
      <w:tr w:rsidR="00467E98" w:rsidRPr="00752D96" w:rsidTr="00831BAA">
        <w:trPr>
          <w:trHeight w:val="1355"/>
        </w:trPr>
        <w:tc>
          <w:tcPr>
            <w:tcW w:w="1384" w:type="dxa"/>
          </w:tcPr>
          <w:p w:rsidR="00467E98" w:rsidRPr="00752D96" w:rsidRDefault="00F82BB9" w:rsidP="00F82BB9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Kim,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2013,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Zuid-Korea</w:t>
            </w:r>
          </w:p>
        </w:tc>
        <w:tc>
          <w:tcPr>
            <w:tcW w:w="2835" w:type="dxa"/>
          </w:tcPr>
          <w:p w:rsidR="00467E98" w:rsidRPr="00752D96" w:rsidRDefault="007C140D" w:rsidP="007C140D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Longitudinaal cohortonderzoek: </w:t>
            </w:r>
            <w:r w:rsidR="003E411F" w:rsidRPr="00752D96">
              <w:rPr>
                <w:rFonts w:cs="Arial"/>
                <w:sz w:val="18"/>
                <w:szCs w:val="18"/>
                <w:lang w:val="nl-NL"/>
              </w:rPr>
              <w:t>volwassenen worden prospectief ingesteld op monotherapie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 met </w:t>
            </w:r>
            <w:proofErr w:type="spellStart"/>
            <w:r w:rsidR="00D33CE7" w:rsidRPr="00752D96">
              <w:rPr>
                <w:rFonts w:cs="Arial"/>
                <w:sz w:val="18"/>
                <w:szCs w:val="18"/>
                <w:lang w:val="nl-NL"/>
              </w:rPr>
              <w:t>levetiracetam</w:t>
            </w:r>
            <w:proofErr w:type="spellEnd"/>
            <w:r w:rsidR="003E411F" w:rsidRPr="00752D96">
              <w:rPr>
                <w:rFonts w:cs="Arial"/>
                <w:sz w:val="18"/>
                <w:szCs w:val="18"/>
                <w:lang w:val="nl-NL"/>
              </w:rPr>
              <w:t xml:space="preserve"> (N=40)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proofErr w:type="spellStart"/>
            <w:r w:rsidR="00D33CE7" w:rsidRPr="00752D96">
              <w:rPr>
                <w:rFonts w:cs="Arial"/>
                <w:sz w:val="18"/>
                <w:szCs w:val="18"/>
                <w:lang w:val="nl-NL"/>
              </w:rPr>
              <w:t>oxcarbamazepine</w:t>
            </w:r>
            <w:proofErr w:type="spellEnd"/>
            <w:r w:rsidR="00D33CE7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3E411F" w:rsidRPr="00752D96">
              <w:rPr>
                <w:rFonts w:cs="Arial"/>
                <w:sz w:val="18"/>
                <w:szCs w:val="18"/>
                <w:lang w:val="nl-NL"/>
              </w:rPr>
              <w:t xml:space="preserve">(N=40) </w:t>
            </w:r>
            <w:r w:rsidR="00D33CE7" w:rsidRPr="00752D96">
              <w:rPr>
                <w:rFonts w:cs="Arial"/>
                <w:sz w:val="18"/>
                <w:szCs w:val="18"/>
                <w:lang w:val="nl-NL"/>
              </w:rPr>
              <w:t>en topiramaat</w:t>
            </w:r>
            <w:r w:rsidR="003E411F" w:rsidRPr="00752D96">
              <w:rPr>
                <w:rFonts w:cs="Arial"/>
                <w:sz w:val="18"/>
                <w:szCs w:val="18"/>
                <w:lang w:val="nl-NL"/>
              </w:rPr>
              <w:t xml:space="preserve"> (N=29),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metingen</w:t>
            </w:r>
            <w:r w:rsidR="003E411F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voor begin en </w:t>
            </w:r>
            <w:r w:rsidR="00F82BB9" w:rsidRPr="00752D96">
              <w:rPr>
                <w:rFonts w:cs="Arial"/>
                <w:sz w:val="18"/>
                <w:szCs w:val="18"/>
                <w:lang w:val="nl-NL"/>
              </w:rPr>
              <w:t xml:space="preserve">na </w:t>
            </w:r>
            <w:r w:rsidR="003E411F" w:rsidRPr="00752D96">
              <w:rPr>
                <w:rFonts w:cs="Arial"/>
                <w:sz w:val="18"/>
                <w:szCs w:val="18"/>
                <w:lang w:val="nl-NL"/>
              </w:rPr>
              <w:t>zes maanden</w:t>
            </w:r>
          </w:p>
        </w:tc>
        <w:tc>
          <w:tcPr>
            <w:tcW w:w="2268" w:type="dxa"/>
          </w:tcPr>
          <w:p w:rsidR="00467E98" w:rsidRPr="00752D96" w:rsidRDefault="00D33CE7" w:rsidP="00060D4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verandering</w:t>
            </w:r>
          </w:p>
        </w:tc>
        <w:tc>
          <w:tcPr>
            <w:tcW w:w="2126" w:type="dxa"/>
          </w:tcPr>
          <w:p w:rsidR="00467E98" w:rsidRPr="00752D96" w:rsidRDefault="00D33CE7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Verlaging alle</w:t>
            </w:r>
            <w:r w:rsidR="00E822AD" w:rsidRPr="00752D96">
              <w:rPr>
                <w:rFonts w:cs="Arial"/>
                <w:sz w:val="18"/>
                <w:szCs w:val="18"/>
                <w:lang w:val="nl-NL"/>
              </w:rPr>
              <w:t>e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n bij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oxcarbamazepinegebruikers</w:t>
            </w:r>
            <w:proofErr w:type="spellEnd"/>
          </w:p>
        </w:tc>
        <w:tc>
          <w:tcPr>
            <w:tcW w:w="2238" w:type="dxa"/>
          </w:tcPr>
          <w:p w:rsidR="00467E98" w:rsidRPr="00752D96" w:rsidRDefault="00D33CE7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Stijging in alle groepen</w:t>
            </w:r>
          </w:p>
        </w:tc>
        <w:tc>
          <w:tcPr>
            <w:tcW w:w="2325" w:type="dxa"/>
          </w:tcPr>
          <w:p w:rsidR="00467E98" w:rsidRPr="00752D96" w:rsidRDefault="00A4164E" w:rsidP="00A4164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>leine groepen</w:t>
            </w:r>
          </w:p>
        </w:tc>
      </w:tr>
      <w:tr w:rsidR="008468DD" w:rsidRPr="00752D96" w:rsidTr="00831BAA">
        <w:trPr>
          <w:trHeight w:val="1355"/>
        </w:trPr>
        <w:tc>
          <w:tcPr>
            <w:tcW w:w="1384" w:type="dxa"/>
          </w:tcPr>
          <w:p w:rsidR="008468DD" w:rsidRPr="00752D96" w:rsidRDefault="008468DD" w:rsidP="008D54E0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Kishi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1997,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Japan</w:t>
            </w:r>
          </w:p>
        </w:tc>
        <w:tc>
          <w:tcPr>
            <w:tcW w:w="2835" w:type="dxa"/>
          </w:tcPr>
          <w:p w:rsidR="008468DD" w:rsidRPr="00752D96" w:rsidRDefault="00771C48" w:rsidP="00AD78A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0D45C8" w:rsidRPr="00752D96">
              <w:rPr>
                <w:rFonts w:cs="Arial"/>
                <w:sz w:val="18"/>
                <w:szCs w:val="18"/>
                <w:lang w:val="nl-NL" w:eastAsia="nl-NL"/>
              </w:rPr>
              <w:t>K</w:t>
            </w:r>
            <w:r w:rsidR="00AD78AE" w:rsidRPr="00752D96">
              <w:rPr>
                <w:rFonts w:cs="Arial"/>
                <w:sz w:val="18"/>
                <w:szCs w:val="18"/>
                <w:lang w:val="nl-NL" w:eastAsia="nl-NL"/>
              </w:rPr>
              <w:t>inderen en jongvolwassenen</w:t>
            </w:r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 met chronische  monotherapie van </w:t>
            </w:r>
            <w:r w:rsidR="008468DD" w:rsidRPr="00752D96">
              <w:rPr>
                <w:rFonts w:cs="Arial"/>
                <w:sz w:val="18"/>
                <w:szCs w:val="18"/>
                <w:lang w:val="nl-NL"/>
              </w:rPr>
              <w:t>carbamazepine</w:t>
            </w:r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 (N=36)</w:t>
            </w:r>
            <w:r w:rsidR="008468DD"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r w:rsidR="000B2E6B" w:rsidRPr="00752D96">
              <w:rPr>
                <w:rFonts w:cs="Arial"/>
                <w:sz w:val="18"/>
                <w:szCs w:val="18"/>
                <w:lang w:val="nl-NL"/>
              </w:rPr>
              <w:t>valproïnezuur</w:t>
            </w:r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 (N=41)</w:t>
            </w:r>
            <w:r w:rsidR="000B2E6B"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proofErr w:type="spellStart"/>
            <w:r w:rsidR="000B2E6B" w:rsidRPr="00752D96">
              <w:rPr>
                <w:rFonts w:cs="Arial"/>
                <w:sz w:val="18"/>
                <w:szCs w:val="18"/>
                <w:lang w:val="nl-NL"/>
              </w:rPr>
              <w:t>fenobarbitaa</w:t>
            </w:r>
            <w:r w:rsidR="00AD78AE" w:rsidRPr="00752D96">
              <w:rPr>
                <w:rFonts w:cs="Arial"/>
                <w:sz w:val="18"/>
                <w:szCs w:val="18"/>
                <w:lang w:val="nl-NL"/>
              </w:rPr>
              <w:t>l</w:t>
            </w:r>
            <w:proofErr w:type="spellEnd"/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 (N=33) of </w:t>
            </w:r>
            <w:proofErr w:type="spellStart"/>
            <w:r w:rsidR="000B2E6B" w:rsidRPr="00752D96">
              <w:rPr>
                <w:rFonts w:cs="Arial"/>
                <w:sz w:val="18"/>
                <w:szCs w:val="18"/>
                <w:lang w:val="nl-NL"/>
              </w:rPr>
              <w:t>zonisamide</w:t>
            </w:r>
            <w:proofErr w:type="spellEnd"/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 (N=25)</w:t>
            </w:r>
            <w:r w:rsidR="000B2E6B" w:rsidRPr="00752D96">
              <w:rPr>
                <w:rFonts w:cs="Arial"/>
                <w:sz w:val="18"/>
                <w:szCs w:val="18"/>
                <w:lang w:val="nl-NL"/>
              </w:rPr>
              <w:t xml:space="preserve">, </w:t>
            </w:r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en </w:t>
            </w:r>
            <w:r w:rsidR="000B2E6B" w:rsidRPr="00752D96">
              <w:rPr>
                <w:rFonts w:cs="Arial"/>
                <w:sz w:val="18"/>
                <w:szCs w:val="18"/>
                <w:lang w:val="nl-NL"/>
              </w:rPr>
              <w:t xml:space="preserve">74 </w:t>
            </w:r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op leeftijd </w:t>
            </w:r>
            <w:proofErr w:type="spellStart"/>
            <w:r w:rsidR="00AD78AE" w:rsidRPr="00752D96">
              <w:rPr>
                <w:rFonts w:cs="Arial"/>
                <w:sz w:val="18"/>
                <w:szCs w:val="18"/>
                <w:lang w:val="nl-NL"/>
              </w:rPr>
              <w:t>gematchte</w:t>
            </w:r>
            <w:proofErr w:type="spellEnd"/>
            <w:r w:rsidR="00AD78AE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0B2E6B" w:rsidRPr="00752D96">
              <w:rPr>
                <w:rFonts w:cs="Arial"/>
                <w:sz w:val="18"/>
                <w:szCs w:val="18"/>
                <w:lang w:val="nl-NL"/>
              </w:rPr>
              <w:t xml:space="preserve"> personen zonder anti-epileptica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 xml:space="preserve"> (controlegroep)</w:t>
            </w:r>
          </w:p>
        </w:tc>
        <w:tc>
          <w:tcPr>
            <w:tcW w:w="2268" w:type="dxa"/>
          </w:tcPr>
          <w:p w:rsidR="008468DD" w:rsidRPr="00752D96" w:rsidRDefault="008468DD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126" w:type="dxa"/>
          </w:tcPr>
          <w:p w:rsidR="008468DD" w:rsidRPr="00752D96" w:rsidRDefault="000B2E6B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Zowel bij carbamazepine als bij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fenobarbitaal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, maar niet bij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zonisamide</w:t>
            </w:r>
            <w:proofErr w:type="spellEnd"/>
            <w:r w:rsidR="00C322D3" w:rsidRPr="00752D96">
              <w:rPr>
                <w:rFonts w:cs="Arial"/>
                <w:sz w:val="18"/>
                <w:szCs w:val="18"/>
                <w:lang w:val="nl-NL"/>
              </w:rPr>
              <w:t xml:space="preserve"> of valproïnezuur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lagere gemiddelde foliumzuurspiegels dan bij de controlegroep</w:t>
            </w:r>
          </w:p>
        </w:tc>
        <w:tc>
          <w:tcPr>
            <w:tcW w:w="2238" w:type="dxa"/>
          </w:tcPr>
          <w:p w:rsidR="008468DD" w:rsidRPr="00752D96" w:rsidRDefault="008468DD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325" w:type="dxa"/>
          </w:tcPr>
          <w:p w:rsidR="008468DD" w:rsidRPr="00752D96" w:rsidRDefault="00A4164E" w:rsidP="00A4164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>leine groepen</w:t>
            </w:r>
          </w:p>
        </w:tc>
      </w:tr>
      <w:tr w:rsidR="00B030BD" w:rsidRPr="00752D96" w:rsidTr="00831BAA">
        <w:trPr>
          <w:trHeight w:val="1355"/>
        </w:trPr>
        <w:tc>
          <w:tcPr>
            <w:tcW w:w="1384" w:type="dxa"/>
          </w:tcPr>
          <w:p w:rsidR="00B030BD" w:rsidRPr="00752D96" w:rsidRDefault="008D54E0" w:rsidP="008D54E0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Kumar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2013,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India</w:t>
            </w:r>
          </w:p>
        </w:tc>
        <w:tc>
          <w:tcPr>
            <w:tcW w:w="2835" w:type="dxa"/>
          </w:tcPr>
          <w:p w:rsidR="00B030BD" w:rsidRPr="00752D96" w:rsidRDefault="00771C48" w:rsidP="00771C4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Longitudinaal cohortonderzoek: 36</w:t>
            </w:r>
            <w:r w:rsidR="00A1183E" w:rsidRPr="00752D96">
              <w:rPr>
                <w:rFonts w:cs="Arial"/>
                <w:sz w:val="18"/>
                <w:szCs w:val="18"/>
                <w:lang w:val="nl-NL"/>
              </w:rPr>
              <w:t xml:space="preserve"> kinderen die op </w:t>
            </w:r>
            <w:r w:rsidR="008D54E0" w:rsidRPr="00752D96">
              <w:rPr>
                <w:rFonts w:cs="Arial"/>
                <w:sz w:val="18"/>
                <w:szCs w:val="18"/>
                <w:lang w:val="nl-NL"/>
              </w:rPr>
              <w:t xml:space="preserve">monotherapie met </w:t>
            </w:r>
            <w:r w:rsidR="00A1183E" w:rsidRPr="00752D96">
              <w:rPr>
                <w:rFonts w:cs="Arial"/>
                <w:sz w:val="18"/>
                <w:szCs w:val="18"/>
                <w:lang w:val="nl-NL"/>
              </w:rPr>
              <w:t>carbamazepine we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>r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den ingesteld. Meting vooraf en</w:t>
            </w:r>
            <w:r w:rsidR="00A1183E" w:rsidRPr="00752D96">
              <w:rPr>
                <w:rFonts w:cs="Arial"/>
                <w:sz w:val="18"/>
                <w:szCs w:val="18"/>
                <w:lang w:val="nl-NL"/>
              </w:rPr>
              <w:t xml:space="preserve"> na 6 maanden.</w:t>
            </w:r>
          </w:p>
        </w:tc>
        <w:tc>
          <w:tcPr>
            <w:tcW w:w="2268" w:type="dxa"/>
          </w:tcPr>
          <w:p w:rsidR="00B030BD" w:rsidRPr="00752D96" w:rsidRDefault="00A1183E" w:rsidP="008D54E0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gemiddelde vitamine B12 spiegel voor en na instelling. Geen verschil in percentage kinderen met te l</w:t>
            </w:r>
            <w:r w:rsidR="008D54E0" w:rsidRPr="00752D96">
              <w:rPr>
                <w:rFonts w:cs="Arial"/>
                <w:sz w:val="18"/>
                <w:szCs w:val="18"/>
                <w:lang w:val="nl-NL"/>
              </w:rPr>
              <w:t>a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ge vitamine B12 spiegel voor en na instelling</w:t>
            </w:r>
          </w:p>
        </w:tc>
        <w:tc>
          <w:tcPr>
            <w:tcW w:w="2126" w:type="dxa"/>
          </w:tcPr>
          <w:p w:rsidR="00B030BD" w:rsidRPr="00752D96" w:rsidRDefault="00D2159A" w:rsidP="00D2159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gemiddelde foliumzuur spiegel voor en na instelling. Geen verschil in percentage kinderen met te lage foliumzuur spiegel voor en na instelling</w:t>
            </w:r>
          </w:p>
        </w:tc>
        <w:tc>
          <w:tcPr>
            <w:tcW w:w="2238" w:type="dxa"/>
          </w:tcPr>
          <w:p w:rsidR="00B030BD" w:rsidRPr="00752D96" w:rsidRDefault="00D2159A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Geen verschil in homocysteïnespiegel voor en na instelling, maar aantal kinderen met te hoge spiegel steeg van 16</w:t>
            </w:r>
            <w:r w:rsidR="008D54E0" w:rsidRPr="00752D96">
              <w:rPr>
                <w:rFonts w:cs="Arial"/>
                <w:sz w:val="18"/>
                <w:szCs w:val="18"/>
                <w:lang w:val="nl-NL" w:eastAsia="nl-NL"/>
              </w:rPr>
              <w:t>,0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% naar 27,8%.</w:t>
            </w:r>
          </w:p>
        </w:tc>
        <w:tc>
          <w:tcPr>
            <w:tcW w:w="2325" w:type="dxa"/>
          </w:tcPr>
          <w:p w:rsidR="000D45C8" w:rsidRPr="00752D96" w:rsidRDefault="00A4164E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Zeer k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 xml:space="preserve">leine groep; </w:t>
            </w:r>
          </w:p>
          <w:p w:rsidR="00B030BD" w:rsidRPr="00752D96" w:rsidRDefault="000B1057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Groep van voor- en nameting niet identiek</w:t>
            </w:r>
          </w:p>
        </w:tc>
      </w:tr>
      <w:tr w:rsidR="001563F4" w:rsidRPr="00752D96" w:rsidTr="00831BAA">
        <w:trPr>
          <w:trHeight w:val="1355"/>
        </w:trPr>
        <w:tc>
          <w:tcPr>
            <w:tcW w:w="1384" w:type="dxa"/>
          </w:tcPr>
          <w:p w:rsidR="001563F4" w:rsidRPr="00752D96" w:rsidRDefault="001563F4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>Kurul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2007, Turkije</w:t>
            </w:r>
          </w:p>
        </w:tc>
        <w:tc>
          <w:tcPr>
            <w:tcW w:w="2835" w:type="dxa"/>
          </w:tcPr>
          <w:p w:rsidR="001563F4" w:rsidRPr="00752D96" w:rsidRDefault="00771C48" w:rsidP="008B64B4">
            <w:pPr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Cross-sectioneel: 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>25 kinderen</w:t>
            </w:r>
            <w:r w:rsidR="00713D88" w:rsidRPr="00752D96">
              <w:rPr>
                <w:rFonts w:cs="Arial"/>
                <w:sz w:val="18"/>
                <w:szCs w:val="18"/>
                <w:lang w:val="nl-NL"/>
              </w:rPr>
              <w:t xml:space="preserve"> met chronische monotherapie</w:t>
            </w:r>
            <w:r w:rsidR="008B64B4" w:rsidRPr="00752D96">
              <w:rPr>
                <w:rFonts w:cs="Arial"/>
                <w:sz w:val="18"/>
                <w:szCs w:val="18"/>
                <w:lang w:val="nl-NL"/>
              </w:rPr>
              <w:t xml:space="preserve"> (groep 1,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 xml:space="preserve"> waarvan 11 met carbamazepine, 8 met valpro</w:t>
            </w:r>
            <w:r w:rsidR="00713D88" w:rsidRPr="00752D96">
              <w:rPr>
                <w:rFonts w:cs="Arial"/>
                <w:sz w:val="18"/>
                <w:szCs w:val="18"/>
                <w:lang w:val="nl-NL"/>
              </w:rPr>
              <w:t>ïnezuur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 xml:space="preserve"> en 6 met </w:t>
            </w:r>
            <w:proofErr w:type="spellStart"/>
            <w:r w:rsidR="001563F4" w:rsidRPr="00752D96">
              <w:rPr>
                <w:rFonts w:cs="Arial"/>
                <w:sz w:val="18"/>
                <w:szCs w:val="18"/>
                <w:lang w:val="nl-NL"/>
              </w:rPr>
              <w:t>oxcarbamazepine</w:t>
            </w:r>
            <w:proofErr w:type="spellEnd"/>
            <w:r w:rsidR="000A281C" w:rsidRPr="00752D96">
              <w:rPr>
                <w:rFonts w:cs="Arial"/>
                <w:sz w:val="18"/>
                <w:szCs w:val="18"/>
                <w:lang w:val="nl-NL"/>
              </w:rPr>
              <w:t>)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>,</w:t>
            </w:r>
            <w:r w:rsidR="00713D88" w:rsidRPr="00752D96">
              <w:rPr>
                <w:rFonts w:cs="Arial"/>
                <w:sz w:val="18"/>
                <w:szCs w:val="18"/>
                <w:lang w:val="nl-NL"/>
              </w:rPr>
              <w:t xml:space="preserve">versus 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 xml:space="preserve"> 10 gezonde kinderen (</w:t>
            </w:r>
            <w:r w:rsidR="000A281C" w:rsidRPr="00752D96">
              <w:rPr>
                <w:rFonts w:cs="Arial"/>
                <w:sz w:val="18"/>
                <w:szCs w:val="18"/>
                <w:lang w:val="nl-NL"/>
              </w:rPr>
              <w:t>(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>controle</w:t>
            </w:r>
            <w:r w:rsidR="000A281C" w:rsidRPr="00752D96">
              <w:rPr>
                <w:rFonts w:cs="Arial"/>
                <w:sz w:val="18"/>
                <w:szCs w:val="18"/>
                <w:lang w:val="nl-NL"/>
              </w:rPr>
              <w:t>-)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>groep</w:t>
            </w:r>
            <w:r w:rsidR="000A281C" w:rsidRPr="00752D96">
              <w:rPr>
                <w:rFonts w:cs="Arial"/>
                <w:sz w:val="18"/>
                <w:szCs w:val="18"/>
                <w:lang w:val="nl-NL"/>
              </w:rPr>
              <w:t xml:space="preserve"> 2</w:t>
            </w:r>
            <w:r w:rsidR="001563F4" w:rsidRPr="00752D96">
              <w:rPr>
                <w:rFonts w:cs="Arial"/>
                <w:sz w:val="18"/>
                <w:szCs w:val="18"/>
                <w:lang w:val="nl-NL"/>
              </w:rPr>
              <w:t xml:space="preserve">) </w:t>
            </w:r>
          </w:p>
        </w:tc>
        <w:tc>
          <w:tcPr>
            <w:tcW w:w="2268" w:type="dxa"/>
          </w:tcPr>
          <w:p w:rsidR="001563F4" w:rsidRPr="00752D96" w:rsidRDefault="001563F4" w:rsidP="000A281C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significant verschil tussen groep </w:t>
            </w:r>
            <w:r w:rsidR="000A281C" w:rsidRPr="00752D96">
              <w:rPr>
                <w:rFonts w:cs="Arial"/>
                <w:sz w:val="18"/>
                <w:szCs w:val="18"/>
                <w:lang w:val="nl-NL"/>
              </w:rPr>
              <w:t>1 en 2</w:t>
            </w:r>
          </w:p>
        </w:tc>
        <w:tc>
          <w:tcPr>
            <w:tcW w:w="2126" w:type="dxa"/>
          </w:tcPr>
          <w:p w:rsidR="001563F4" w:rsidRPr="00752D96" w:rsidRDefault="001563F4" w:rsidP="00D2159A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significant verschil tussen </w:t>
            </w:r>
            <w:r w:rsidR="000A281C" w:rsidRPr="00752D96">
              <w:rPr>
                <w:rFonts w:cs="Arial"/>
                <w:sz w:val="18"/>
                <w:szCs w:val="18"/>
                <w:lang w:val="nl-NL"/>
              </w:rPr>
              <w:t>groep 1 en 2</w:t>
            </w:r>
          </w:p>
        </w:tc>
        <w:tc>
          <w:tcPr>
            <w:tcW w:w="2238" w:type="dxa"/>
          </w:tcPr>
          <w:p w:rsidR="001563F4" w:rsidRPr="00752D96" w:rsidRDefault="001563F4" w:rsidP="00713D88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significant verschil tussen </w:t>
            </w:r>
            <w:r w:rsidR="000A281C" w:rsidRPr="00752D96">
              <w:rPr>
                <w:rFonts w:cs="Arial"/>
                <w:sz w:val="18"/>
                <w:szCs w:val="18"/>
                <w:lang w:val="nl-NL"/>
              </w:rPr>
              <w:t>groep 1 en 2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 3 carbamazepinegebruikers en 1 valpro</w:t>
            </w:r>
            <w:r w:rsidR="00713D88" w:rsidRPr="00752D96">
              <w:rPr>
                <w:rFonts w:cs="Arial"/>
                <w:sz w:val="18"/>
                <w:szCs w:val="18"/>
                <w:lang w:val="nl-NL"/>
              </w:rPr>
              <w:t>ïnezuur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gebruiker had</w:t>
            </w:r>
            <w:r w:rsidR="007E1AA6" w:rsidRPr="00752D96">
              <w:rPr>
                <w:rFonts w:cs="Arial"/>
                <w:sz w:val="18"/>
                <w:szCs w:val="18"/>
                <w:lang w:val="nl-NL"/>
              </w:rPr>
              <w:t>den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een abnormaal verhoogde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homocystëinespiegel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  <w:tc>
          <w:tcPr>
            <w:tcW w:w="2325" w:type="dxa"/>
          </w:tcPr>
          <w:p w:rsidR="001563F4" w:rsidRPr="00752D96" w:rsidRDefault="007E1AA6" w:rsidP="000D45C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Zeer kleine </w:t>
            </w:r>
            <w:r w:rsidR="000D45C8" w:rsidRPr="00752D96">
              <w:rPr>
                <w:rFonts w:cs="Arial"/>
                <w:sz w:val="18"/>
                <w:szCs w:val="18"/>
                <w:lang w:val="nl-NL"/>
              </w:rPr>
              <w:t>groep</w:t>
            </w:r>
          </w:p>
        </w:tc>
      </w:tr>
      <w:tr w:rsidR="00702884" w:rsidRPr="00752D96" w:rsidTr="00752D96">
        <w:trPr>
          <w:trHeight w:val="1266"/>
        </w:trPr>
        <w:tc>
          <w:tcPr>
            <w:tcW w:w="1384" w:type="dxa"/>
          </w:tcPr>
          <w:p w:rsidR="00702884" w:rsidRPr="00752D96" w:rsidRDefault="00702884" w:rsidP="00660D50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Linnebank, 2011, </w:t>
            </w:r>
            <w:r w:rsidR="00660D50" w:rsidRPr="00752D96">
              <w:rPr>
                <w:rFonts w:cs="Arial"/>
                <w:sz w:val="18"/>
                <w:szCs w:val="18"/>
                <w:lang w:val="nl-NL" w:eastAsia="nl-NL"/>
              </w:rPr>
              <w:t>Duitsland</w:t>
            </w:r>
          </w:p>
        </w:tc>
        <w:tc>
          <w:tcPr>
            <w:tcW w:w="2835" w:type="dxa"/>
          </w:tcPr>
          <w:p w:rsidR="00702884" w:rsidRPr="00752D96" w:rsidRDefault="00771C48" w:rsidP="00E816D5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702884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2730 patiënten </w:t>
            </w:r>
            <w:r w:rsidR="000C4D6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op verschillende </w:t>
            </w:r>
            <w:r w:rsidR="00702884" w:rsidRPr="00752D96">
              <w:rPr>
                <w:rFonts w:cs="Arial"/>
                <w:sz w:val="18"/>
                <w:szCs w:val="18"/>
                <w:lang w:val="nl-NL" w:eastAsia="nl-NL"/>
              </w:rPr>
              <w:t>anti-epileptische medicatie</w:t>
            </w:r>
            <w:r w:rsidR="000C4D6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</w:t>
            </w:r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>meestal</w:t>
            </w:r>
            <w:r w:rsidR="000C4D6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polytherapie)</w:t>
            </w:r>
            <w:r w:rsidR="00702884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170 patiënten met epilepsie zonder anti-epileptica </w:t>
            </w:r>
            <w:r w:rsidR="000C4D6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gedurende (minimaal) de afgelopen 3 maanden </w:t>
            </w:r>
            <w:r w:rsidR="000D45C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(controlegroep 1) </w:t>
            </w:r>
            <w:r w:rsidR="00702884" w:rsidRPr="00752D96">
              <w:rPr>
                <w:rFonts w:cs="Arial"/>
                <w:sz w:val="18"/>
                <w:szCs w:val="18"/>
                <w:lang w:val="nl-NL" w:eastAsia="nl-NL"/>
              </w:rPr>
              <w:t>en 200 personen zonder epilepsie en anti-epileptica</w:t>
            </w:r>
            <w:r w:rsidR="000D45C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(controlegroep 2)</w:t>
            </w:r>
            <w:r w:rsidR="00702884" w:rsidRPr="00752D96">
              <w:rPr>
                <w:rFonts w:cs="Arial"/>
                <w:sz w:val="18"/>
                <w:szCs w:val="18"/>
                <w:lang w:val="nl-NL" w:eastAsia="nl-NL"/>
              </w:rPr>
              <w:t>.</w:t>
            </w:r>
          </w:p>
        </w:tc>
        <w:tc>
          <w:tcPr>
            <w:tcW w:w="2268" w:type="dxa"/>
          </w:tcPr>
          <w:p w:rsidR="00702884" w:rsidRPr="00752D96" w:rsidRDefault="00702884" w:rsidP="0070288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Behandeling met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fenobarbital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pregabaline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primidon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of topiramaat was geassocieerd met lagere gemiddelde vitamine B12 waarden vergeleken met de totale patiëntengroep. Gebruikers van  valproïnezuur laten een hogere gemiddelde vit</w:t>
            </w:r>
            <w:r w:rsidR="004D0C2D" w:rsidRPr="00752D96">
              <w:rPr>
                <w:rFonts w:cs="Arial"/>
                <w:sz w:val="18"/>
                <w:szCs w:val="18"/>
                <w:lang w:val="nl-NL" w:eastAsia="nl-NL"/>
              </w:rPr>
              <w:t>amine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B12 waarde zien. 6% van de anti-epilepticagebruikers hadden een te lage vitamine B12 spiegel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vs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7% resp. 5% van de controlegroepen.</w:t>
            </w:r>
          </w:p>
        </w:tc>
        <w:tc>
          <w:tcPr>
            <w:tcW w:w="2126" w:type="dxa"/>
          </w:tcPr>
          <w:p w:rsidR="00702884" w:rsidRPr="00752D96" w:rsidRDefault="00702884" w:rsidP="00EF2903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De patiëntengroep met anti-epileptica toonde een lagere gemiddelde fol</w:t>
            </w:r>
            <w:r w:rsidR="004D0C2D" w:rsidRPr="00752D96">
              <w:rPr>
                <w:rFonts w:cs="Arial"/>
                <w:sz w:val="18"/>
                <w:szCs w:val="18"/>
                <w:lang w:val="nl-NL" w:eastAsia="nl-NL"/>
              </w:rPr>
              <w:t>iumzuur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spiegel dan de twee controlegroepen en ook meer patiënten met een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subnormale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fol</w:t>
            </w:r>
            <w:r w:rsidR="00EF2903" w:rsidRPr="00752D96">
              <w:rPr>
                <w:rFonts w:cs="Arial"/>
                <w:sz w:val="18"/>
                <w:szCs w:val="18"/>
                <w:lang w:val="nl-NL" w:eastAsia="nl-NL"/>
              </w:rPr>
              <w:t>iumzuurs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piegel (17% vs. 6%</w:t>
            </w:r>
            <w:r w:rsidR="00390477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vs. 6%; ARR </w:t>
            </w:r>
            <w:r w:rsidR="00390477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11,1% (95%BI 7,3%-14,9%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)</w:t>
            </w:r>
            <w:r w:rsidR="00EF2903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resp. ARR </w:t>
            </w:r>
            <w:r w:rsidR="00EF2903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11,0% (95%BI 7,4%-14,6%)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. </w:t>
            </w:r>
          </w:p>
          <w:p w:rsidR="00702884" w:rsidRPr="00752D96" w:rsidRDefault="00702884" w:rsidP="000D45C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Behandeling met carbamazepine,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gabapentine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oxcarbazepine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fenytoïne,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primidon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of valproïnezuur was (dosisafhankelijk) geassocieerd met lagere gemiddelde foliumzuurwaarden vergeleken met de totale patiëntengroep. Bij carbamazepine en fenytoïne waren de gemiddelde fol</w:t>
            </w:r>
            <w:r w:rsidR="00EF2903" w:rsidRPr="00752D96">
              <w:rPr>
                <w:rFonts w:cs="Arial"/>
                <w:sz w:val="18"/>
                <w:szCs w:val="18"/>
                <w:lang w:val="nl-NL" w:eastAsia="nl-NL"/>
              </w:rPr>
              <w:t>iumzuur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spiegels lager dan bij de twee controlegroepen. Behandeling met carbamazepine,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gabapentine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fenytoïne of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primidon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was geassocieerd met een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 xml:space="preserve">hogere frequentie van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subnormale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foliumzuurspiegels vergeleken met </w:t>
            </w:r>
            <w:r w:rsidR="000D45C8" w:rsidRPr="00752D96">
              <w:rPr>
                <w:rFonts w:cs="Arial"/>
                <w:sz w:val="18"/>
                <w:szCs w:val="18"/>
                <w:lang w:val="nl-NL" w:eastAsia="nl-NL"/>
              </w:rPr>
              <w:t>controlegroep 2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.</w:t>
            </w:r>
          </w:p>
        </w:tc>
        <w:tc>
          <w:tcPr>
            <w:tcW w:w="2238" w:type="dxa"/>
          </w:tcPr>
          <w:p w:rsidR="00702884" w:rsidRPr="00752D96" w:rsidRDefault="00702884" w:rsidP="0070288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 xml:space="preserve">In de groepen van gebruikers van carbamazepine,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oxcarbazepine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fenobarbital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fenytoïne,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primidon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of topiramaat was de gemiddelde homocysteïnespiegel boven de normaalwaarde.  </w:t>
            </w:r>
          </w:p>
        </w:tc>
        <w:tc>
          <w:tcPr>
            <w:tcW w:w="2325" w:type="dxa"/>
          </w:tcPr>
          <w:p w:rsidR="00702884" w:rsidRPr="00752D96" w:rsidRDefault="00702884" w:rsidP="00EF2903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Suppletie met vitamine B12 en/of foliumzuur bij 141 patiënten met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subnormale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vitamine  B12 of foliumzuur waarden normaliseerde in 95% van de gevallen vervolgens de vitamine-, homocysteïne- en ook de MCV- waarden.</w:t>
            </w:r>
          </w:p>
        </w:tc>
      </w:tr>
      <w:tr w:rsidR="00A26298" w:rsidRPr="00752D96" w:rsidTr="00752D96">
        <w:trPr>
          <w:trHeight w:val="1837"/>
        </w:trPr>
        <w:tc>
          <w:tcPr>
            <w:tcW w:w="1384" w:type="dxa"/>
          </w:tcPr>
          <w:p w:rsidR="00A26298" w:rsidRPr="00752D96" w:rsidRDefault="00EC5C22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Munisamy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, 2015, India</w:t>
            </w:r>
          </w:p>
        </w:tc>
        <w:tc>
          <w:tcPr>
            <w:tcW w:w="2835" w:type="dxa"/>
          </w:tcPr>
          <w:p w:rsidR="00A26298" w:rsidRPr="00752D96" w:rsidRDefault="00771C48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122D69" w:rsidRPr="00752D96">
              <w:rPr>
                <w:rFonts w:cs="Arial"/>
                <w:sz w:val="18"/>
                <w:szCs w:val="18"/>
                <w:lang w:val="nl-NL" w:eastAsia="nl-NL"/>
              </w:rPr>
              <w:t>1</w:t>
            </w:r>
            <w:r w:rsidR="00EC5C22" w:rsidRPr="00752D96">
              <w:rPr>
                <w:rFonts w:cs="Arial"/>
                <w:sz w:val="18"/>
                <w:szCs w:val="18"/>
                <w:lang w:val="nl-NL" w:eastAsia="nl-NL"/>
              </w:rPr>
              <w:t>00 epilepsiepatiënten op monotherapie met f</w:t>
            </w:r>
            <w:r w:rsidR="00122D69" w:rsidRPr="00752D96">
              <w:rPr>
                <w:rFonts w:cs="Arial"/>
                <w:sz w:val="18"/>
                <w:szCs w:val="18"/>
                <w:lang w:val="nl-NL" w:eastAsia="nl-NL"/>
              </w:rPr>
              <w:t>e</w:t>
            </w:r>
            <w:r w:rsidR="00EC5C2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nytoïne (N=50), carbamazepine (N=25) of valproïnezuur (N=25) (groep 1), 100 gezonde proefpersonen, </w:t>
            </w:r>
            <w:proofErr w:type="spellStart"/>
            <w:r w:rsidR="00EC5C22" w:rsidRPr="00752D96">
              <w:rPr>
                <w:rFonts w:cs="Arial"/>
                <w:sz w:val="18"/>
                <w:szCs w:val="18"/>
                <w:lang w:val="nl-NL" w:eastAsia="nl-NL"/>
              </w:rPr>
              <w:t>gematcht</w:t>
            </w:r>
            <w:proofErr w:type="spellEnd"/>
            <w:r w:rsidR="00EC5C2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op leeftijd en geslacht</w:t>
            </w:r>
            <w:r w:rsidR="000D45C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((controle-)groep 2)</w:t>
            </w:r>
          </w:p>
        </w:tc>
        <w:tc>
          <w:tcPr>
            <w:tcW w:w="2268" w:type="dxa"/>
          </w:tcPr>
          <w:p w:rsidR="00A26298" w:rsidRPr="00752D96" w:rsidRDefault="004D40AD" w:rsidP="004D40AD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Significant lagere spiegel in groep 1</w:t>
            </w:r>
          </w:p>
        </w:tc>
        <w:tc>
          <w:tcPr>
            <w:tcW w:w="2126" w:type="dxa"/>
          </w:tcPr>
          <w:p w:rsidR="00A26298" w:rsidRPr="00752D96" w:rsidRDefault="004D40AD" w:rsidP="004D40AD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Significant lagere spiegel in groep 1</w:t>
            </w:r>
          </w:p>
        </w:tc>
        <w:tc>
          <w:tcPr>
            <w:tcW w:w="2238" w:type="dxa"/>
          </w:tcPr>
          <w:p w:rsidR="00A26298" w:rsidRPr="00752D96" w:rsidRDefault="004D40AD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Significant hogere spiegel in groep 1</w:t>
            </w:r>
          </w:p>
        </w:tc>
        <w:tc>
          <w:tcPr>
            <w:tcW w:w="2325" w:type="dxa"/>
          </w:tcPr>
          <w:p w:rsidR="000D45C8" w:rsidRPr="00752D96" w:rsidRDefault="000D45C8" w:rsidP="00144154">
            <w:pPr>
              <w:pStyle w:val="Geenafstand"/>
              <w:rPr>
                <w:rFonts w:cs="Arial"/>
                <w:iCs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iCs/>
                <w:sz w:val="18"/>
                <w:szCs w:val="18"/>
                <w:lang w:val="nl-NL"/>
              </w:rPr>
              <w:t>Kleine groepen;</w:t>
            </w:r>
          </w:p>
          <w:p w:rsidR="00A26298" w:rsidRPr="00752D96" w:rsidRDefault="00EC5C22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iCs/>
                <w:sz w:val="18"/>
                <w:szCs w:val="18"/>
                <w:lang w:val="nl-NL"/>
              </w:rPr>
              <w:t>MTHFR (C677T) genotyp</w:t>
            </w:r>
            <w:r w:rsidR="004D40AD" w:rsidRPr="00752D96">
              <w:rPr>
                <w:rFonts w:cs="Arial"/>
                <w:iCs/>
                <w:sz w:val="18"/>
                <w:szCs w:val="18"/>
                <w:lang w:val="nl-NL"/>
              </w:rPr>
              <w:t>er</w:t>
            </w:r>
            <w:r w:rsidRPr="00752D96">
              <w:rPr>
                <w:rFonts w:cs="Arial"/>
                <w:iCs/>
                <w:sz w:val="18"/>
                <w:szCs w:val="18"/>
                <w:lang w:val="nl-NL"/>
              </w:rPr>
              <w:t>ing</w:t>
            </w:r>
            <w:r w:rsidR="00122D69" w:rsidRPr="00752D96">
              <w:rPr>
                <w:rFonts w:cs="Arial"/>
                <w:iCs/>
                <w:sz w:val="18"/>
                <w:szCs w:val="18"/>
                <w:lang w:val="nl-NL"/>
              </w:rPr>
              <w:t xml:space="preserve"> toonde geen verschil tussen de groepen</w:t>
            </w:r>
          </w:p>
        </w:tc>
      </w:tr>
      <w:tr w:rsidR="0009754D" w:rsidRPr="00752D96" w:rsidTr="00752D96">
        <w:trPr>
          <w:trHeight w:val="2259"/>
        </w:trPr>
        <w:tc>
          <w:tcPr>
            <w:tcW w:w="1384" w:type="dxa"/>
          </w:tcPr>
          <w:p w:rsidR="0009754D" w:rsidRPr="00752D96" w:rsidRDefault="0009754D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Ni, 2015, Volksrepubliek China</w:t>
            </w:r>
          </w:p>
        </w:tc>
        <w:tc>
          <w:tcPr>
            <w:tcW w:w="2835" w:type="dxa"/>
          </w:tcPr>
          <w:p w:rsidR="0009754D" w:rsidRPr="00752D96" w:rsidRDefault="00771C48" w:rsidP="00771C48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09754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30 epilepsiepatiënten op chronische monotherapie met valproïnezuur (groep 1), 30 epilepsiepatiënten op chronische monotherapie met lamotrigine (groep 2) en 30 gezonde proefpersonen, </w:t>
            </w:r>
            <w:proofErr w:type="spellStart"/>
            <w:r w:rsidR="0009754D" w:rsidRPr="00752D96">
              <w:rPr>
                <w:rFonts w:cs="Arial"/>
                <w:sz w:val="18"/>
                <w:szCs w:val="18"/>
                <w:lang w:val="nl-NL" w:eastAsia="nl-NL"/>
              </w:rPr>
              <w:t>gematcht</w:t>
            </w:r>
            <w:proofErr w:type="spellEnd"/>
            <w:r w:rsidR="0009754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op leeftijd, etniciteit en geslacht</w:t>
            </w:r>
            <w:r w:rsidR="000D45C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((controle-)groep 3)</w:t>
            </w:r>
          </w:p>
        </w:tc>
        <w:tc>
          <w:tcPr>
            <w:tcW w:w="2268" w:type="dxa"/>
          </w:tcPr>
          <w:p w:rsidR="0009754D" w:rsidRPr="00752D96" w:rsidRDefault="00BC6E1F" w:rsidP="0078492B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Geen verschil tussen de groepen</w:t>
            </w:r>
          </w:p>
        </w:tc>
        <w:tc>
          <w:tcPr>
            <w:tcW w:w="2126" w:type="dxa"/>
          </w:tcPr>
          <w:p w:rsidR="0009754D" w:rsidRPr="00752D96" w:rsidRDefault="00BC6E1F" w:rsidP="00BC6E1F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Significant lagere spiegel in groep 1 en ook groep 2 versus groep 3</w:t>
            </w:r>
          </w:p>
        </w:tc>
        <w:tc>
          <w:tcPr>
            <w:tcW w:w="2238" w:type="dxa"/>
          </w:tcPr>
          <w:p w:rsidR="0009754D" w:rsidRPr="00752D96" w:rsidRDefault="00BC6E1F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Significant hogere spiegel in groep 1 versus groep 2 en 3, geen verschil tussen groep 2 en 3</w:t>
            </w:r>
          </w:p>
        </w:tc>
        <w:tc>
          <w:tcPr>
            <w:tcW w:w="2325" w:type="dxa"/>
          </w:tcPr>
          <w:p w:rsidR="00E04323" w:rsidRPr="00752D96" w:rsidRDefault="00FE2A7B" w:rsidP="00E04323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groepen: d</w:t>
            </w:r>
            <w:r w:rsidR="0078492B" w:rsidRPr="00752D96">
              <w:rPr>
                <w:rFonts w:cs="Arial"/>
                <w:sz w:val="18"/>
                <w:szCs w:val="18"/>
                <w:lang w:val="nl-NL"/>
              </w:rPr>
              <w:t>e zeggingskracht voor vitamine B 12 verschillen was slechts 12,8%.</w:t>
            </w:r>
          </w:p>
        </w:tc>
      </w:tr>
      <w:tr w:rsidR="00535121" w:rsidRPr="00752D96" w:rsidTr="00752D96">
        <w:trPr>
          <w:trHeight w:val="1413"/>
        </w:trPr>
        <w:tc>
          <w:tcPr>
            <w:tcW w:w="1384" w:type="dxa"/>
          </w:tcPr>
          <w:p w:rsidR="00535121" w:rsidRPr="00752D96" w:rsidRDefault="00535121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Ozdemir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, 2011, Turkije</w:t>
            </w:r>
          </w:p>
        </w:tc>
        <w:tc>
          <w:tcPr>
            <w:tcW w:w="2835" w:type="dxa"/>
          </w:tcPr>
          <w:p w:rsidR="00535121" w:rsidRPr="00752D96" w:rsidRDefault="00771C48" w:rsidP="00771C48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44 kinderen </w:t>
            </w:r>
            <w:r w:rsidR="002F6F9E" w:rsidRPr="00752D96">
              <w:rPr>
                <w:rFonts w:cs="Arial"/>
                <w:sz w:val="18"/>
                <w:szCs w:val="18"/>
                <w:lang w:val="nl-NL" w:eastAsia="nl-NL"/>
              </w:rPr>
              <w:t>op chronische monotherapie met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valproïnezuur versus 28 gezonde proefpersonen, </w:t>
            </w:r>
            <w:proofErr w:type="spellStart"/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>g</w:t>
            </w:r>
            <w:r w:rsidR="002F6F9E" w:rsidRPr="00752D96">
              <w:rPr>
                <w:rFonts w:cs="Arial"/>
                <w:sz w:val="18"/>
                <w:szCs w:val="18"/>
                <w:lang w:val="nl-NL" w:eastAsia="nl-NL"/>
              </w:rPr>
              <w:t>e</w:t>
            </w:r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>matcht</w:t>
            </w:r>
            <w:proofErr w:type="spellEnd"/>
            <w:r w:rsidR="0053512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op leeftijd en geslacht</w:t>
            </w:r>
            <w:r w:rsidR="00FE2A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(controlegroep)</w:t>
            </w:r>
          </w:p>
        </w:tc>
        <w:tc>
          <w:tcPr>
            <w:tcW w:w="2268" w:type="dxa"/>
          </w:tcPr>
          <w:p w:rsidR="00535121" w:rsidRPr="00752D96" w:rsidRDefault="00535121" w:rsidP="00807915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Significant </w:t>
            </w:r>
            <w:r w:rsidR="00807915" w:rsidRPr="00752D96">
              <w:rPr>
                <w:rFonts w:cs="Arial"/>
                <w:sz w:val="18"/>
                <w:szCs w:val="18"/>
                <w:lang w:val="nl-NL" w:eastAsia="nl-NL"/>
              </w:rPr>
              <w:t>hogere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vitamine B12 spiegel in </w:t>
            </w:r>
            <w:r w:rsidR="00807915" w:rsidRPr="00752D96">
              <w:rPr>
                <w:rFonts w:cs="Arial"/>
                <w:sz w:val="18"/>
                <w:szCs w:val="18"/>
                <w:lang w:val="nl-NL" w:eastAsia="nl-NL"/>
              </w:rPr>
              <w:t>valproïnezuurg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roep</w:t>
            </w:r>
          </w:p>
        </w:tc>
        <w:tc>
          <w:tcPr>
            <w:tcW w:w="2126" w:type="dxa"/>
          </w:tcPr>
          <w:p w:rsidR="00535121" w:rsidRPr="00752D96" w:rsidRDefault="00535121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Geen verschil in foliumzuurspiegels</w:t>
            </w:r>
          </w:p>
        </w:tc>
        <w:tc>
          <w:tcPr>
            <w:tcW w:w="2238" w:type="dxa"/>
          </w:tcPr>
          <w:p w:rsidR="00535121" w:rsidRPr="00752D96" w:rsidRDefault="004D1220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Significant hogere spiegel in v</w:t>
            </w:r>
            <w:r w:rsidR="00535121" w:rsidRPr="00752D96">
              <w:rPr>
                <w:rFonts w:cs="Arial"/>
                <w:sz w:val="18"/>
                <w:szCs w:val="18"/>
                <w:lang w:val="nl-NL"/>
              </w:rPr>
              <w:t>alproïnezuurgroep</w:t>
            </w:r>
          </w:p>
        </w:tc>
        <w:tc>
          <w:tcPr>
            <w:tcW w:w="2325" w:type="dxa"/>
          </w:tcPr>
          <w:p w:rsidR="00535121" w:rsidRPr="00752D96" w:rsidRDefault="00FE2A7B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Kleine groepen</w:t>
            </w:r>
          </w:p>
        </w:tc>
      </w:tr>
      <w:tr w:rsidR="00107258" w:rsidRPr="00752D96" w:rsidDel="00535121" w:rsidTr="00752D96">
        <w:trPr>
          <w:trHeight w:val="1688"/>
        </w:trPr>
        <w:tc>
          <w:tcPr>
            <w:tcW w:w="1384" w:type="dxa"/>
          </w:tcPr>
          <w:p w:rsidR="00107258" w:rsidRPr="00752D96" w:rsidDel="00535121" w:rsidRDefault="00C553CB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Rościszewska</w:t>
            </w:r>
            <w:proofErr w:type="spellEnd"/>
            <w:r w:rsidR="00107258" w:rsidRPr="00752D96">
              <w:rPr>
                <w:rFonts w:cs="Arial"/>
                <w:sz w:val="18"/>
                <w:szCs w:val="18"/>
                <w:lang w:val="nl-NL" w:eastAsia="nl-NL"/>
              </w:rPr>
              <w:t>, 1993, Polen (informatie uit Engelse abstract en tabellen)</w:t>
            </w:r>
          </w:p>
        </w:tc>
        <w:tc>
          <w:tcPr>
            <w:tcW w:w="2835" w:type="dxa"/>
          </w:tcPr>
          <w:p w:rsidR="00107258" w:rsidRPr="00752D96" w:rsidDel="00535121" w:rsidRDefault="00771C48" w:rsidP="000A281C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10725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21 volwassen </w:t>
            </w:r>
            <w:r w:rsidR="00C553C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chronische </w:t>
            </w:r>
            <w:r w:rsidR="00107258" w:rsidRPr="00752D96">
              <w:rPr>
                <w:rFonts w:cs="Arial"/>
                <w:sz w:val="18"/>
                <w:szCs w:val="18"/>
                <w:lang w:val="nl-NL" w:eastAsia="nl-NL"/>
              </w:rPr>
              <w:t>gebruikers van carbamazepine versus  controle</w:t>
            </w:r>
            <w:r w:rsidR="000A281C" w:rsidRPr="00752D96">
              <w:rPr>
                <w:rFonts w:cs="Arial"/>
                <w:sz w:val="18"/>
                <w:szCs w:val="18"/>
                <w:lang w:val="nl-NL" w:eastAsia="nl-NL"/>
              </w:rPr>
              <w:t>groep (N=20)</w:t>
            </w:r>
          </w:p>
        </w:tc>
        <w:tc>
          <w:tcPr>
            <w:tcW w:w="2268" w:type="dxa"/>
          </w:tcPr>
          <w:p w:rsidR="00107258" w:rsidRPr="00752D96" w:rsidDel="00535121" w:rsidRDefault="00107258" w:rsidP="000A281C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Geen significant verschil tussen </w:t>
            </w:r>
            <w:r w:rsidR="000A281C" w:rsidRPr="00752D96">
              <w:rPr>
                <w:rFonts w:cs="Arial"/>
                <w:sz w:val="18"/>
                <w:szCs w:val="18"/>
                <w:lang w:val="nl-NL" w:eastAsia="nl-NL"/>
              </w:rPr>
              <w:t>beide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groepen. </w:t>
            </w:r>
            <w:r w:rsidR="009F6A93" w:rsidRPr="00752D96">
              <w:rPr>
                <w:rFonts w:cs="Arial"/>
                <w:sz w:val="18"/>
                <w:szCs w:val="18"/>
                <w:lang w:val="nl-NL" w:eastAsia="nl-NL"/>
              </w:rPr>
              <w:t>Naarmate de behandeling langer duurt, neemt de spiegel af: na meer dan 15 jaar gebruik is de spiegel 65% van die van de controlegroep.</w:t>
            </w:r>
          </w:p>
        </w:tc>
        <w:tc>
          <w:tcPr>
            <w:tcW w:w="2126" w:type="dxa"/>
          </w:tcPr>
          <w:p w:rsidR="00107258" w:rsidRPr="00752D96" w:rsidDel="00535121" w:rsidRDefault="00107258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238" w:type="dxa"/>
          </w:tcPr>
          <w:p w:rsidR="00107258" w:rsidRPr="00752D96" w:rsidDel="00535121" w:rsidRDefault="00107258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325" w:type="dxa"/>
          </w:tcPr>
          <w:p w:rsidR="00107258" w:rsidRPr="00752D96" w:rsidDel="00535121" w:rsidRDefault="00FE2A7B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</w:t>
            </w:r>
          </w:p>
        </w:tc>
      </w:tr>
      <w:tr w:rsidR="00160306" w:rsidRPr="00752D96" w:rsidTr="00752D96">
        <w:trPr>
          <w:trHeight w:val="1691"/>
        </w:trPr>
        <w:tc>
          <w:tcPr>
            <w:tcW w:w="1384" w:type="dxa"/>
          </w:tcPr>
          <w:p w:rsidR="00160306" w:rsidRPr="00752D96" w:rsidRDefault="00160306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 xml:space="preserve">Sander, 1992, Groot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Britannië</w:t>
            </w:r>
            <w:proofErr w:type="spellEnd"/>
          </w:p>
        </w:tc>
        <w:tc>
          <w:tcPr>
            <w:tcW w:w="2835" w:type="dxa"/>
          </w:tcPr>
          <w:p w:rsidR="00160306" w:rsidRPr="00752D96" w:rsidRDefault="00771C48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Gerandomiseerde cross-over: </w:t>
            </w:r>
            <w:r w:rsidR="00160306" w:rsidRPr="00752D96">
              <w:rPr>
                <w:rFonts w:cs="Arial"/>
                <w:sz w:val="18"/>
                <w:szCs w:val="18"/>
                <w:lang w:val="nl-NL" w:eastAsia="nl-NL"/>
              </w:rPr>
              <w:t>21 volwassen gebruikers van 1 of meerdere anti</w:t>
            </w:r>
            <w:r w:rsidR="001B1198" w:rsidRPr="00752D96">
              <w:rPr>
                <w:rFonts w:cs="Arial"/>
                <w:sz w:val="18"/>
                <w:szCs w:val="18"/>
                <w:lang w:val="nl-NL" w:eastAsia="nl-NL"/>
              </w:rPr>
              <w:t>-</w:t>
            </w:r>
            <w:r w:rsidR="00160306" w:rsidRPr="00752D96">
              <w:rPr>
                <w:rFonts w:cs="Arial"/>
                <w:sz w:val="18"/>
                <w:szCs w:val="18"/>
                <w:lang w:val="nl-NL" w:eastAsia="nl-NL"/>
              </w:rPr>
              <w:t>epileptica (waarvan 19 maal carbamazepine) worden cross-over gerandom</w:t>
            </w:r>
            <w:r w:rsidR="00A01714" w:rsidRPr="00752D96">
              <w:rPr>
                <w:rFonts w:cs="Arial"/>
                <w:sz w:val="18"/>
                <w:szCs w:val="18"/>
                <w:lang w:val="nl-NL" w:eastAsia="nl-NL"/>
              </w:rPr>
              <w:t>i</w:t>
            </w:r>
            <w:r w:rsidR="00160306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seerd naar </w:t>
            </w:r>
            <w:r w:rsidR="00840381" w:rsidRPr="00752D96">
              <w:rPr>
                <w:rFonts w:cs="Arial"/>
                <w:sz w:val="18"/>
                <w:szCs w:val="18"/>
                <w:lang w:val="nl-NL" w:eastAsia="nl-NL"/>
              </w:rPr>
              <w:t>12 weken lamotrigine en 12 weken placebo</w:t>
            </w:r>
          </w:p>
        </w:tc>
        <w:tc>
          <w:tcPr>
            <w:tcW w:w="2268" w:type="dxa"/>
          </w:tcPr>
          <w:p w:rsidR="00160306" w:rsidRPr="00752D96" w:rsidRDefault="00160306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2126" w:type="dxa"/>
          </w:tcPr>
          <w:p w:rsidR="00160306" w:rsidRPr="00752D96" w:rsidRDefault="00840381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Geen significant verschil</w:t>
            </w:r>
            <w:r w:rsidR="00A01714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aan het eind van de lamotrigine- en placebo-periode</w:t>
            </w:r>
          </w:p>
        </w:tc>
        <w:tc>
          <w:tcPr>
            <w:tcW w:w="2238" w:type="dxa"/>
          </w:tcPr>
          <w:p w:rsidR="00160306" w:rsidRPr="00752D96" w:rsidRDefault="00160306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325" w:type="dxa"/>
          </w:tcPr>
          <w:p w:rsidR="00160306" w:rsidRPr="00752D96" w:rsidRDefault="00840381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</w:t>
            </w:r>
          </w:p>
        </w:tc>
      </w:tr>
      <w:tr w:rsidR="00E57026" w:rsidRPr="00752D96" w:rsidTr="00831BAA">
        <w:trPr>
          <w:trHeight w:val="2678"/>
        </w:trPr>
        <w:tc>
          <w:tcPr>
            <w:tcW w:w="1384" w:type="dxa"/>
          </w:tcPr>
          <w:p w:rsidR="00E57026" w:rsidRPr="00752D96" w:rsidRDefault="00E57026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Schwaninger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1999,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Duitsland</w:t>
            </w:r>
          </w:p>
        </w:tc>
        <w:tc>
          <w:tcPr>
            <w:tcW w:w="2835" w:type="dxa"/>
          </w:tcPr>
          <w:p w:rsidR="00E57026" w:rsidRPr="00752D96" w:rsidRDefault="000846B8" w:rsidP="000A281C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220A20" w:rsidRPr="00752D96">
              <w:rPr>
                <w:rFonts w:cs="Arial"/>
                <w:sz w:val="18"/>
                <w:szCs w:val="18"/>
                <w:lang w:val="nl-NL" w:eastAsia="nl-NL"/>
              </w:rPr>
              <w:t>51</w:t>
            </w:r>
            <w:r w:rsidR="001B119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patiënten op langer dan een maand durende mono-of polytherapie met anti-</w:t>
            </w:r>
            <w:r w:rsidR="004D1220" w:rsidRPr="00752D96">
              <w:rPr>
                <w:rFonts w:cs="Arial"/>
                <w:sz w:val="18"/>
                <w:szCs w:val="18"/>
                <w:lang w:val="nl-NL" w:eastAsia="nl-NL"/>
              </w:rPr>
              <w:t>epileptica</w:t>
            </w:r>
            <w:r w:rsidR="001B119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(N=35 carbamazepine, N=10 fenytoïne, N=15 </w:t>
            </w:r>
            <w:proofErr w:type="spellStart"/>
            <w:r w:rsidR="001B1198" w:rsidRPr="00752D96">
              <w:rPr>
                <w:rFonts w:cs="Arial"/>
                <w:sz w:val="18"/>
                <w:szCs w:val="18"/>
                <w:lang w:val="nl-NL" w:eastAsia="nl-NL"/>
              </w:rPr>
              <w:t>fenobarbitaal</w:t>
            </w:r>
            <w:proofErr w:type="spellEnd"/>
            <w:r w:rsidR="001B119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N=15 valproïnezuur) versus </w:t>
            </w:r>
            <w:r w:rsidR="00220A2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51 op leeftijd en geslacht </w:t>
            </w:r>
            <w:proofErr w:type="spellStart"/>
            <w:r w:rsidR="00220A20" w:rsidRPr="00752D96">
              <w:rPr>
                <w:rFonts w:cs="Arial"/>
                <w:sz w:val="18"/>
                <w:szCs w:val="18"/>
                <w:lang w:val="nl-NL" w:eastAsia="nl-NL"/>
              </w:rPr>
              <w:t>gematchte</w:t>
            </w:r>
            <w:proofErr w:type="spellEnd"/>
            <w:r w:rsidR="00220A2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gezonde proefpersonen</w:t>
            </w:r>
            <w:r w:rsidR="001B1198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FE2A7B" w:rsidRPr="00752D96">
              <w:rPr>
                <w:rFonts w:cs="Arial"/>
                <w:sz w:val="18"/>
                <w:szCs w:val="18"/>
                <w:lang w:val="nl-NL" w:eastAsia="nl-NL"/>
              </w:rPr>
              <w:t>(controlegroep)</w:t>
            </w:r>
          </w:p>
        </w:tc>
        <w:tc>
          <w:tcPr>
            <w:tcW w:w="2268" w:type="dxa"/>
          </w:tcPr>
          <w:p w:rsidR="00E57026" w:rsidRPr="00752D96" w:rsidRDefault="00220A20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Geen verschil in spiegel</w:t>
            </w:r>
          </w:p>
        </w:tc>
        <w:tc>
          <w:tcPr>
            <w:tcW w:w="2126" w:type="dxa"/>
          </w:tcPr>
          <w:p w:rsidR="00E57026" w:rsidRPr="00752D96" w:rsidRDefault="00220A20" w:rsidP="00144154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Lagere spiegel in patiëntengroep</w:t>
            </w:r>
          </w:p>
        </w:tc>
        <w:tc>
          <w:tcPr>
            <w:tcW w:w="2238" w:type="dxa"/>
          </w:tcPr>
          <w:p w:rsidR="00E57026" w:rsidRPr="00752D96" w:rsidRDefault="00220A20" w:rsidP="007151B9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Hogere spiegel in patiëntengroep, te hoge spiegel bij 19,6% van de patiëntengroep versus 3,9% van de controlegroep (ARR </w:t>
            </w:r>
            <w:r w:rsidR="007151B9" w:rsidRPr="00752D96">
              <w:rPr>
                <w:rFonts w:cs="Arial"/>
                <w:sz w:val="18"/>
                <w:szCs w:val="18"/>
                <w:lang w:val="nl-NL"/>
              </w:rPr>
              <w:t xml:space="preserve">15,7%,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95%BI 3</w:t>
            </w:r>
            <w:r w:rsidR="007151B9" w:rsidRPr="00752D96">
              <w:rPr>
                <w:rFonts w:cs="Arial"/>
                <w:sz w:val="18"/>
                <w:szCs w:val="18"/>
                <w:lang w:val="nl-NL"/>
              </w:rPr>
              <w:t>,6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%</w:t>
            </w:r>
            <w:r w:rsidR="007151B9" w:rsidRPr="00752D96">
              <w:rPr>
                <w:rFonts w:cs="Arial"/>
                <w:sz w:val="18"/>
                <w:szCs w:val="18"/>
                <w:lang w:val="nl-NL"/>
              </w:rPr>
              <w:t>-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27</w:t>
            </w:r>
            <w:r w:rsidR="007151B9" w:rsidRPr="00752D96">
              <w:rPr>
                <w:rFonts w:cs="Arial"/>
                <w:sz w:val="18"/>
                <w:szCs w:val="18"/>
                <w:lang w:val="nl-NL"/>
              </w:rPr>
              <w:t>,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8%</w:t>
            </w:r>
            <w:r w:rsidR="007151B9" w:rsidRPr="00752D96">
              <w:rPr>
                <w:rFonts w:cs="Arial"/>
                <w:sz w:val="18"/>
                <w:szCs w:val="18"/>
                <w:lang w:val="nl-NL"/>
              </w:rPr>
              <w:t xml:space="preserve">). Hogere </w:t>
            </w:r>
            <w:proofErr w:type="spellStart"/>
            <w:r w:rsidR="007151B9" w:rsidRPr="00752D96">
              <w:rPr>
                <w:rFonts w:cs="Arial"/>
                <w:sz w:val="18"/>
                <w:szCs w:val="18"/>
                <w:lang w:val="nl-NL"/>
              </w:rPr>
              <w:t>homocystëinespiegels</w:t>
            </w:r>
            <w:proofErr w:type="spellEnd"/>
            <w:r w:rsidR="007151B9" w:rsidRPr="00752D96">
              <w:rPr>
                <w:rFonts w:cs="Arial"/>
                <w:sz w:val="18"/>
                <w:szCs w:val="18"/>
                <w:lang w:val="nl-NL"/>
              </w:rPr>
              <w:t xml:space="preserve"> waren geassocieerd met lagere fol</w:t>
            </w:r>
            <w:r w:rsidR="004D1220" w:rsidRPr="00752D96">
              <w:rPr>
                <w:rFonts w:cs="Arial"/>
                <w:sz w:val="18"/>
                <w:szCs w:val="18"/>
                <w:lang w:val="nl-NL"/>
              </w:rPr>
              <w:t>i</w:t>
            </w:r>
            <w:r w:rsidR="007151B9" w:rsidRPr="00752D96">
              <w:rPr>
                <w:rFonts w:cs="Arial"/>
                <w:sz w:val="18"/>
                <w:szCs w:val="18"/>
                <w:lang w:val="nl-NL"/>
              </w:rPr>
              <w:t xml:space="preserve">umzuurspiegels en omgekeerd. </w:t>
            </w:r>
          </w:p>
        </w:tc>
        <w:tc>
          <w:tcPr>
            <w:tcW w:w="2325" w:type="dxa"/>
          </w:tcPr>
          <w:p w:rsidR="00FE2A7B" w:rsidRPr="00752D96" w:rsidRDefault="00FE2A7B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groepen;</w:t>
            </w:r>
          </w:p>
          <w:p w:rsidR="00E57026" w:rsidRPr="00752D96" w:rsidRDefault="00220A20" w:rsidP="00144154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Lagere vitamine B6 spiegel in patiëntengroep</w:t>
            </w:r>
          </w:p>
        </w:tc>
      </w:tr>
      <w:tr w:rsidR="00293DDA" w:rsidRPr="00752D96" w:rsidTr="00831BAA">
        <w:trPr>
          <w:trHeight w:val="1550"/>
        </w:trPr>
        <w:tc>
          <w:tcPr>
            <w:tcW w:w="1384" w:type="dxa"/>
          </w:tcPr>
          <w:p w:rsidR="00E5257B" w:rsidRPr="00752D96" w:rsidRDefault="00E5257B" w:rsidP="000F0BEE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Sener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, 2006, Turkije</w:t>
            </w:r>
          </w:p>
          <w:p w:rsidR="00E5257B" w:rsidRPr="00752D96" w:rsidRDefault="00E5257B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2835" w:type="dxa"/>
          </w:tcPr>
          <w:p w:rsidR="00E5257B" w:rsidRPr="00752D96" w:rsidRDefault="000846B8" w:rsidP="00E816D5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>5</w:t>
            </w:r>
            <w:r w:rsidR="00110441" w:rsidRPr="00752D96">
              <w:rPr>
                <w:rFonts w:cs="Arial"/>
                <w:sz w:val="18"/>
                <w:szCs w:val="18"/>
                <w:lang w:val="nl-NL" w:eastAsia="nl-NL"/>
              </w:rPr>
              <w:t>7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patiënten </w:t>
            </w:r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met chronische monotherapie 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>waarvan 16 behandeld met f</w:t>
            </w:r>
            <w:r w:rsidR="00BB47A8" w:rsidRPr="00752D96">
              <w:rPr>
                <w:rFonts w:cs="Arial"/>
                <w:sz w:val="18"/>
                <w:szCs w:val="18"/>
                <w:lang w:val="nl-NL" w:eastAsia="nl-NL"/>
              </w:rPr>
              <w:t>enytoïne, 19 met carbamazepine en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22 met valproïnezuur </w:t>
            </w:r>
            <w:r w:rsidR="004705D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(groep 1), 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18 </w:t>
            </w:r>
            <w:r w:rsidR="00110441" w:rsidRPr="00752D96">
              <w:rPr>
                <w:rFonts w:cs="Arial"/>
                <w:sz w:val="18"/>
                <w:szCs w:val="18"/>
                <w:lang w:val="nl-NL" w:eastAsia="nl-NL"/>
              </w:rPr>
              <w:t>epilepsie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>patiënten zonder anti-epilepticum</w:t>
            </w:r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gedurende (minimaal) de afgelopen 2 jaar</w:t>
            </w:r>
            <w:r w:rsidR="00FE2A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((controle-)</w:t>
            </w:r>
            <w:r w:rsidR="004705D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groep 2) en 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11 </w:t>
            </w:r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op geslacht en leeftijd </w:t>
            </w:r>
            <w:proofErr w:type="spellStart"/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>gematchte</w:t>
            </w:r>
            <w:proofErr w:type="spellEnd"/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>personen zonder epilepsie</w:t>
            </w:r>
            <w:r w:rsidR="004705D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</w:t>
            </w:r>
            <w:r w:rsidR="00FE2A7B" w:rsidRPr="00752D96">
              <w:rPr>
                <w:rFonts w:cs="Arial"/>
                <w:sz w:val="18"/>
                <w:szCs w:val="18"/>
                <w:lang w:val="nl-NL" w:eastAsia="nl-NL"/>
              </w:rPr>
              <w:t>(</w:t>
            </w:r>
            <w:r w:rsidR="004705D2" w:rsidRPr="00752D96">
              <w:rPr>
                <w:rFonts w:cs="Arial"/>
                <w:sz w:val="18"/>
                <w:szCs w:val="18"/>
                <w:lang w:val="nl-NL" w:eastAsia="nl-NL"/>
              </w:rPr>
              <w:t>controle</w:t>
            </w:r>
            <w:r w:rsidR="00FE2A7B" w:rsidRPr="00752D96">
              <w:rPr>
                <w:rFonts w:cs="Arial"/>
                <w:sz w:val="18"/>
                <w:szCs w:val="18"/>
                <w:lang w:val="nl-NL" w:eastAsia="nl-NL"/>
              </w:rPr>
              <w:t>-)</w:t>
            </w:r>
            <w:r w:rsidR="004705D2" w:rsidRPr="00752D96">
              <w:rPr>
                <w:rFonts w:cs="Arial"/>
                <w:sz w:val="18"/>
                <w:szCs w:val="18"/>
                <w:lang w:val="nl-NL" w:eastAsia="nl-NL"/>
              </w:rPr>
              <w:t>groep</w:t>
            </w:r>
            <w:r w:rsidR="00FE2A7B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3</w:t>
            </w:r>
            <w:r w:rsidR="004705D2" w:rsidRPr="00752D96">
              <w:rPr>
                <w:rFonts w:cs="Arial"/>
                <w:sz w:val="18"/>
                <w:szCs w:val="18"/>
                <w:lang w:val="nl-NL" w:eastAsia="nl-NL"/>
              </w:rPr>
              <w:t>)</w:t>
            </w:r>
            <w:r w:rsidR="00E5257B" w:rsidRPr="00752D96">
              <w:rPr>
                <w:rFonts w:cs="Arial"/>
                <w:sz w:val="18"/>
                <w:szCs w:val="18"/>
                <w:lang w:val="nl-NL" w:eastAsia="nl-NL"/>
              </w:rPr>
              <w:t>.</w:t>
            </w:r>
          </w:p>
        </w:tc>
        <w:tc>
          <w:tcPr>
            <w:tcW w:w="2268" w:type="dxa"/>
          </w:tcPr>
          <w:p w:rsidR="00E5257B" w:rsidRPr="00752D96" w:rsidRDefault="00E5257B" w:rsidP="001540FC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verschil tussen </w:t>
            </w:r>
            <w:r w:rsidR="001540FC" w:rsidRPr="00752D96">
              <w:rPr>
                <w:rFonts w:cs="Arial"/>
                <w:sz w:val="18"/>
                <w:szCs w:val="18"/>
                <w:lang w:val="nl-NL"/>
              </w:rPr>
              <w:t xml:space="preserve">alle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groep</w:t>
            </w:r>
            <w:r w:rsidR="001540FC" w:rsidRPr="00752D96">
              <w:rPr>
                <w:rFonts w:cs="Arial"/>
                <w:sz w:val="18"/>
                <w:szCs w:val="18"/>
                <w:lang w:val="nl-NL"/>
              </w:rPr>
              <w:t>en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  <w:tc>
          <w:tcPr>
            <w:tcW w:w="2126" w:type="dxa"/>
          </w:tcPr>
          <w:p w:rsidR="00E5257B" w:rsidRPr="00752D96" w:rsidRDefault="00E5257B" w:rsidP="000846B8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In </w:t>
            </w:r>
            <w:r w:rsidR="00646696" w:rsidRPr="00752D96">
              <w:rPr>
                <w:rFonts w:cs="Arial"/>
                <w:sz w:val="18"/>
                <w:szCs w:val="18"/>
                <w:lang w:val="nl-NL"/>
              </w:rPr>
              <w:t xml:space="preserve">groep 1 is de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gemiddelde waarde </w:t>
            </w:r>
            <w:r w:rsidR="00646696" w:rsidRPr="00752D96">
              <w:rPr>
                <w:rFonts w:cs="Arial"/>
                <w:sz w:val="18"/>
                <w:szCs w:val="18"/>
                <w:lang w:val="nl-NL"/>
              </w:rPr>
              <w:t>lager dan in de groep</w:t>
            </w:r>
            <w:r w:rsidR="004D0CB2" w:rsidRPr="00752D96">
              <w:rPr>
                <w:rFonts w:cs="Arial"/>
                <w:sz w:val="18"/>
                <w:szCs w:val="18"/>
                <w:lang w:val="nl-NL"/>
              </w:rPr>
              <w:t xml:space="preserve"> 3</w:t>
            </w:r>
            <w:r w:rsidR="00646696" w:rsidRPr="00752D96">
              <w:rPr>
                <w:rFonts w:cs="Arial"/>
                <w:sz w:val="18"/>
                <w:szCs w:val="18"/>
                <w:lang w:val="nl-NL"/>
              </w:rPr>
              <w:t xml:space="preserve">. </w:t>
            </w:r>
            <w:r w:rsidR="004D0CB2" w:rsidRPr="00752D96">
              <w:rPr>
                <w:rFonts w:cs="Arial"/>
                <w:sz w:val="18"/>
                <w:szCs w:val="18"/>
                <w:lang w:val="nl-NL"/>
              </w:rPr>
              <w:t>Dit geldt specifiek voor fenytoïne, maar niet voor valproïnezuur of carbamazepine.</w:t>
            </w:r>
          </w:p>
        </w:tc>
        <w:tc>
          <w:tcPr>
            <w:tcW w:w="2238" w:type="dxa"/>
          </w:tcPr>
          <w:p w:rsidR="00E5257B" w:rsidRPr="00752D96" w:rsidRDefault="00E5257B" w:rsidP="004D0CB2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In </w:t>
            </w:r>
            <w:r w:rsidR="00FB2B2C" w:rsidRPr="00752D96">
              <w:rPr>
                <w:rFonts w:cs="Arial"/>
                <w:sz w:val="18"/>
                <w:szCs w:val="18"/>
                <w:lang w:val="nl-NL"/>
              </w:rPr>
              <w:t xml:space="preserve">groep 1 en bij elk anti-epilepticum apart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waren gemiddelde waarden verhoogd ten opzichte van </w:t>
            </w:r>
            <w:r w:rsidR="004D0CB2" w:rsidRPr="00752D96">
              <w:rPr>
                <w:rFonts w:cs="Arial"/>
                <w:sz w:val="18"/>
                <w:szCs w:val="18"/>
                <w:lang w:val="nl-NL"/>
              </w:rPr>
              <w:t>controle</w:t>
            </w:r>
            <w:r w:rsidR="00FB2B2C" w:rsidRPr="00752D96">
              <w:rPr>
                <w:rFonts w:cs="Arial"/>
                <w:sz w:val="18"/>
                <w:szCs w:val="18"/>
                <w:lang w:val="nl-NL"/>
              </w:rPr>
              <w:t xml:space="preserve">groep 2 en </w:t>
            </w:r>
            <w:r w:rsidR="004D0CB2" w:rsidRPr="00752D96">
              <w:rPr>
                <w:rFonts w:cs="Arial"/>
                <w:sz w:val="18"/>
                <w:szCs w:val="18"/>
                <w:lang w:val="nl-NL"/>
              </w:rPr>
              <w:t>3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  <w:r w:rsidR="00FB2B2C" w:rsidRPr="00752D96">
              <w:rPr>
                <w:rFonts w:cs="Arial"/>
                <w:sz w:val="18"/>
                <w:szCs w:val="18"/>
                <w:lang w:val="nl-NL"/>
              </w:rPr>
              <w:t xml:space="preserve"> Bij groep 1</w:t>
            </w:r>
            <w:r w:rsidR="000F0BEE" w:rsidRPr="00752D96">
              <w:rPr>
                <w:rFonts w:cs="Arial"/>
                <w:sz w:val="18"/>
                <w:szCs w:val="18"/>
                <w:lang w:val="nl-NL"/>
              </w:rPr>
              <w:t xml:space="preserve"> waren meer patiënten </w:t>
            </w:r>
            <w:r w:rsidR="00D010D1" w:rsidRPr="00752D96">
              <w:rPr>
                <w:rFonts w:cs="Arial"/>
                <w:sz w:val="18"/>
                <w:szCs w:val="18"/>
                <w:lang w:val="nl-NL"/>
              </w:rPr>
              <w:t xml:space="preserve">(64%) </w:t>
            </w:r>
            <w:r w:rsidR="000F0BEE" w:rsidRPr="00752D96">
              <w:rPr>
                <w:rFonts w:cs="Arial"/>
                <w:sz w:val="18"/>
                <w:szCs w:val="18"/>
                <w:lang w:val="nl-NL"/>
              </w:rPr>
              <w:t xml:space="preserve">met een verhoogde </w:t>
            </w:r>
            <w:proofErr w:type="spellStart"/>
            <w:r w:rsidR="00FB2B2C" w:rsidRPr="00752D96">
              <w:rPr>
                <w:rFonts w:cs="Arial"/>
                <w:sz w:val="18"/>
                <w:szCs w:val="18"/>
                <w:lang w:val="nl-NL"/>
              </w:rPr>
              <w:t>homocysteïne</w:t>
            </w:r>
            <w:r w:rsidR="000F0BEE" w:rsidRPr="00752D96">
              <w:rPr>
                <w:rFonts w:cs="Arial"/>
                <w:sz w:val="18"/>
                <w:szCs w:val="18"/>
                <w:lang w:val="nl-NL"/>
              </w:rPr>
              <w:t>waarde</w:t>
            </w:r>
            <w:proofErr w:type="spellEnd"/>
            <w:r w:rsidR="00FB2B2C" w:rsidRPr="00752D96">
              <w:rPr>
                <w:rFonts w:cs="Arial"/>
                <w:sz w:val="18"/>
                <w:szCs w:val="18"/>
                <w:lang w:val="nl-NL"/>
              </w:rPr>
              <w:t xml:space="preserve"> dan</w:t>
            </w:r>
            <w:r w:rsidR="00646696" w:rsidRPr="00752D96">
              <w:rPr>
                <w:rFonts w:cs="Arial"/>
                <w:sz w:val="18"/>
                <w:szCs w:val="18"/>
                <w:lang w:val="nl-NL"/>
              </w:rPr>
              <w:t xml:space="preserve"> in groep 2 </w:t>
            </w:r>
            <w:r w:rsidR="00D010D1" w:rsidRPr="00752D96">
              <w:rPr>
                <w:rFonts w:cs="Arial"/>
                <w:sz w:val="18"/>
                <w:szCs w:val="18"/>
                <w:lang w:val="nl-NL"/>
              </w:rPr>
              <w:t xml:space="preserve">(20%) </w:t>
            </w:r>
            <w:r w:rsidR="00646696" w:rsidRPr="00752D96">
              <w:rPr>
                <w:rFonts w:cs="Arial"/>
                <w:sz w:val="18"/>
                <w:szCs w:val="18"/>
                <w:lang w:val="nl-NL"/>
              </w:rPr>
              <w:t>of groep</w:t>
            </w:r>
            <w:r w:rsidR="00D010D1" w:rsidRPr="00752D96">
              <w:rPr>
                <w:rFonts w:cs="Arial"/>
                <w:sz w:val="18"/>
                <w:szCs w:val="18"/>
                <w:lang w:val="nl-NL"/>
              </w:rPr>
              <w:t xml:space="preserve"> </w:t>
            </w:r>
            <w:r w:rsidR="004D0CB2" w:rsidRPr="00752D96">
              <w:rPr>
                <w:rFonts w:cs="Arial"/>
                <w:sz w:val="18"/>
                <w:szCs w:val="18"/>
                <w:lang w:val="nl-NL"/>
              </w:rPr>
              <w:t xml:space="preserve">3 </w:t>
            </w:r>
            <w:r w:rsidR="00D010D1" w:rsidRPr="00752D96">
              <w:rPr>
                <w:rFonts w:cs="Arial"/>
                <w:sz w:val="18"/>
                <w:szCs w:val="18"/>
                <w:lang w:val="nl-NL"/>
              </w:rPr>
              <w:t xml:space="preserve">(27%) (ARR </w:t>
            </w:r>
            <w:r w:rsidR="00D010D1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40,9</w:t>
            </w:r>
            <w:r w:rsidR="00356636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>%</w:t>
            </w:r>
            <w:r w:rsidR="00D010D1" w:rsidRPr="00752D96">
              <w:rPr>
                <w:rFonts w:eastAsia="Times New Roman" w:cs="Arial"/>
                <w:sz w:val="18"/>
                <w:szCs w:val="18"/>
                <w:lang w:val="nl-NL" w:eastAsia="nl-NL"/>
              </w:rPr>
              <w:t xml:space="preserve"> (95% 18,0%-63,9%) resp. ARR 35,9% (95%BI 6,7%-65,0%)</w:t>
            </w:r>
          </w:p>
        </w:tc>
        <w:tc>
          <w:tcPr>
            <w:tcW w:w="2325" w:type="dxa"/>
          </w:tcPr>
          <w:p w:rsidR="00FE2A7B" w:rsidRPr="00752D96" w:rsidRDefault="00FE2A7B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</w:t>
            </w:r>
            <w:r w:rsidR="006C10AD" w:rsidRPr="00752D96">
              <w:rPr>
                <w:rFonts w:cs="Arial"/>
                <w:sz w:val="18"/>
                <w:szCs w:val="18"/>
                <w:lang w:val="nl-NL"/>
              </w:rPr>
              <w:t xml:space="preserve"> en per specifiek middel zeer kleine groepen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;</w:t>
            </w:r>
          </w:p>
          <w:p w:rsidR="00FB2B2C" w:rsidRPr="00752D96" w:rsidRDefault="00C61979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Duur van anti-epilepticagebruik correleert met afname van fol</w:t>
            </w:r>
            <w:r w:rsidR="000F0BEE" w:rsidRPr="00752D96">
              <w:rPr>
                <w:rFonts w:cs="Arial"/>
                <w:sz w:val="18"/>
                <w:szCs w:val="18"/>
                <w:lang w:val="nl-NL"/>
              </w:rPr>
              <w:t>iumzuur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spiegel. </w:t>
            </w:r>
          </w:p>
        </w:tc>
      </w:tr>
      <w:tr w:rsidR="00C55EBC" w:rsidRPr="00752D96" w:rsidTr="00752D96">
        <w:trPr>
          <w:trHeight w:val="2117"/>
        </w:trPr>
        <w:tc>
          <w:tcPr>
            <w:tcW w:w="1384" w:type="dxa"/>
          </w:tcPr>
          <w:p w:rsidR="00C55EBC" w:rsidRPr="00752D96" w:rsidRDefault="00C55EBC" w:rsidP="000F0BEE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lastRenderedPageBreak/>
              <w:t>Sharma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>, 2015, India</w:t>
            </w:r>
          </w:p>
        </w:tc>
        <w:tc>
          <w:tcPr>
            <w:tcW w:w="2835" w:type="dxa"/>
          </w:tcPr>
          <w:p w:rsidR="00C55EBC" w:rsidRPr="00752D96" w:rsidRDefault="000846B8" w:rsidP="00C55EBC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Longitudinaal cohortonderzoek: </w:t>
            </w:r>
            <w:r w:rsidR="00C55EB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50 nieuw met epilepsie gediagnosticeerde kinderen gebruiken drie </w:t>
            </w:r>
            <w:r w:rsidR="000A281C" w:rsidRPr="00752D96">
              <w:rPr>
                <w:rFonts w:cs="Arial"/>
                <w:sz w:val="18"/>
                <w:szCs w:val="18"/>
                <w:lang w:val="nl-NL" w:eastAsia="nl-NL"/>
              </w:rPr>
              <w:t>maanden valproïnezuur (groep 1)</w:t>
            </w:r>
            <w:r w:rsidR="00C55EB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0A281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en </w:t>
            </w:r>
            <w:r w:rsidR="00C55EB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50 op geslacht en leeftijd </w:t>
            </w:r>
            <w:proofErr w:type="spellStart"/>
            <w:r w:rsidR="00C55EBC" w:rsidRPr="00752D96">
              <w:rPr>
                <w:rFonts w:cs="Arial"/>
                <w:sz w:val="18"/>
                <w:szCs w:val="18"/>
                <w:lang w:val="nl-NL" w:eastAsia="nl-NL"/>
              </w:rPr>
              <w:t>gematchte</w:t>
            </w:r>
            <w:proofErr w:type="spellEnd"/>
            <w:r w:rsidR="00C55EB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kinderen zonder epilepsie</w:t>
            </w:r>
            <w:r w:rsidR="006C10A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((controle-)groep 2)</w:t>
            </w:r>
            <w:r w:rsidR="00C55EBC" w:rsidRPr="00752D96">
              <w:rPr>
                <w:rFonts w:cs="Arial"/>
                <w:sz w:val="18"/>
                <w:szCs w:val="18"/>
                <w:lang w:val="nl-NL" w:eastAsia="nl-NL"/>
              </w:rPr>
              <w:t>, prospectieve metingen</w:t>
            </w:r>
            <w:r w:rsidR="00A47581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voor instelling en na 3 maanden</w:t>
            </w:r>
          </w:p>
        </w:tc>
        <w:tc>
          <w:tcPr>
            <w:tcW w:w="2268" w:type="dxa"/>
          </w:tcPr>
          <w:p w:rsidR="00C55EBC" w:rsidRPr="00752D96" w:rsidRDefault="00A47581" w:rsidP="00A4758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verschil tussen beide groepen voor begin van de </w:t>
            </w:r>
            <w:r w:rsidR="006C10AD" w:rsidRPr="00752D96">
              <w:rPr>
                <w:rFonts w:cs="Arial"/>
                <w:sz w:val="18"/>
                <w:szCs w:val="18"/>
                <w:lang w:val="nl-NL"/>
              </w:rPr>
              <w:t>behandeling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, n</w:t>
            </w:r>
            <w:r w:rsidR="00A26298" w:rsidRPr="00752D96">
              <w:rPr>
                <w:rFonts w:cs="Arial"/>
                <w:sz w:val="18"/>
                <w:szCs w:val="18"/>
                <w:lang w:val="nl-NL"/>
              </w:rPr>
              <w:t>iet-significante afname na behandeling in groep 1</w:t>
            </w:r>
          </w:p>
        </w:tc>
        <w:tc>
          <w:tcPr>
            <w:tcW w:w="2126" w:type="dxa"/>
          </w:tcPr>
          <w:p w:rsidR="00C55EBC" w:rsidRPr="00752D96" w:rsidRDefault="00A47581" w:rsidP="00A4758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verschil tussen beide groepen voor begin van de </w:t>
            </w:r>
            <w:r w:rsidR="006C10AD" w:rsidRPr="00752D96">
              <w:rPr>
                <w:rFonts w:cs="Arial"/>
                <w:sz w:val="18"/>
                <w:szCs w:val="18"/>
                <w:lang w:val="nl-NL"/>
              </w:rPr>
              <w:t>behandeling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, a</w:t>
            </w:r>
            <w:r w:rsidR="00A26298" w:rsidRPr="00752D96">
              <w:rPr>
                <w:rFonts w:cs="Arial"/>
                <w:sz w:val="18"/>
                <w:szCs w:val="18"/>
                <w:lang w:val="nl-NL"/>
              </w:rPr>
              <w:t>fname na behandeling in groep 1</w:t>
            </w:r>
          </w:p>
        </w:tc>
        <w:tc>
          <w:tcPr>
            <w:tcW w:w="2238" w:type="dxa"/>
          </w:tcPr>
          <w:p w:rsidR="00C55EBC" w:rsidRPr="00752D96" w:rsidRDefault="00A47581" w:rsidP="00A47581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Geen verschil tussen beide groepen voor begin van de </w:t>
            </w:r>
            <w:r w:rsidR="006C10AD" w:rsidRPr="00752D96">
              <w:rPr>
                <w:rFonts w:cs="Arial"/>
                <w:sz w:val="18"/>
                <w:szCs w:val="18"/>
                <w:lang w:val="nl-NL"/>
              </w:rPr>
              <w:t>behandeling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, t</w:t>
            </w:r>
            <w:r w:rsidR="00A26298" w:rsidRPr="00752D96">
              <w:rPr>
                <w:rFonts w:cs="Arial"/>
                <w:sz w:val="18"/>
                <w:szCs w:val="18"/>
                <w:lang w:val="nl-NL"/>
              </w:rPr>
              <w:t>oename na behandeling in groep 1</w:t>
            </w:r>
          </w:p>
        </w:tc>
        <w:tc>
          <w:tcPr>
            <w:tcW w:w="2325" w:type="dxa"/>
          </w:tcPr>
          <w:p w:rsidR="00C55EBC" w:rsidRPr="00752D96" w:rsidRDefault="006C10AD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</w:t>
            </w:r>
          </w:p>
        </w:tc>
      </w:tr>
      <w:tr w:rsidR="007E1AA6" w:rsidRPr="00752D96" w:rsidTr="00831BAA">
        <w:trPr>
          <w:trHeight w:val="416"/>
        </w:trPr>
        <w:tc>
          <w:tcPr>
            <w:tcW w:w="1384" w:type="dxa"/>
          </w:tcPr>
          <w:p w:rsidR="007E1AA6" w:rsidRPr="00752D96" w:rsidRDefault="007E1AA6" w:rsidP="000F0BEE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val="nl-NL" w:eastAsia="nl-NL"/>
              </w:rPr>
              <w:t>Verrotti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2000,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Italië </w:t>
            </w:r>
          </w:p>
        </w:tc>
        <w:tc>
          <w:tcPr>
            <w:tcW w:w="2835" w:type="dxa"/>
          </w:tcPr>
          <w:p w:rsidR="007E1AA6" w:rsidRPr="00752D96" w:rsidRDefault="000846B8" w:rsidP="000846B8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>Longitu</w:t>
            </w:r>
            <w:r w:rsidR="007D31D9" w:rsidRPr="00752D96">
              <w:rPr>
                <w:rFonts w:cs="Arial"/>
                <w:sz w:val="18"/>
                <w:szCs w:val="18"/>
                <w:lang w:val="nl-NL" w:eastAsia="nl-NL"/>
              </w:rPr>
              <w:t>d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inaal cohortonderzoek: </w:t>
            </w:r>
            <w:r w:rsidR="007E1AA6" w:rsidRPr="00752D96">
              <w:rPr>
                <w:rFonts w:cs="Arial"/>
                <w:sz w:val="18"/>
                <w:szCs w:val="18"/>
                <w:lang w:val="nl-NL" w:eastAsia="nl-NL"/>
              </w:rPr>
              <w:t>60 adolescenten na 1 jaar monotherapie met anti</w:t>
            </w:r>
            <w:r w:rsidR="00167B41" w:rsidRPr="00752D96">
              <w:rPr>
                <w:rFonts w:cs="Arial"/>
                <w:sz w:val="18"/>
                <w:szCs w:val="18"/>
                <w:lang w:val="nl-NL" w:eastAsia="nl-NL"/>
              </w:rPr>
              <w:t>-</w:t>
            </w:r>
            <w:r w:rsidR="007E1AA6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epileptica (28 met carbamazepine, 32 met valproïnezuur) en 36 </w:t>
            </w:r>
            <w:r w:rsidR="009A118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gezonde proefpersonen, </w:t>
            </w:r>
            <w:proofErr w:type="spellStart"/>
            <w:r w:rsidR="009A1180" w:rsidRPr="00752D96">
              <w:rPr>
                <w:rFonts w:cs="Arial"/>
                <w:sz w:val="18"/>
                <w:szCs w:val="18"/>
                <w:lang w:val="nl-NL" w:eastAsia="nl-NL"/>
              </w:rPr>
              <w:t>gematcht</w:t>
            </w:r>
            <w:proofErr w:type="spellEnd"/>
            <w:r w:rsidR="009A118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naar geslacht en leeftijd</w:t>
            </w:r>
            <w:r w:rsidR="006C10A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(controle</w:t>
            </w:r>
            <w:r w:rsidR="000A281C" w:rsidRPr="00752D96">
              <w:rPr>
                <w:rFonts w:cs="Arial"/>
                <w:sz w:val="18"/>
                <w:szCs w:val="18"/>
                <w:lang w:val="nl-NL" w:eastAsia="nl-NL"/>
              </w:rPr>
              <w:t>groep</w:t>
            </w:r>
            <w:r w:rsidR="006C10AD" w:rsidRPr="00752D96">
              <w:rPr>
                <w:rFonts w:cs="Arial"/>
                <w:sz w:val="18"/>
                <w:szCs w:val="18"/>
                <w:lang w:val="nl-NL" w:eastAsia="nl-NL"/>
              </w:rPr>
              <w:t>)</w:t>
            </w:r>
            <w:r w:rsidR="009A1180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.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Metingen vooraf en na 1 jaar.</w:t>
            </w:r>
          </w:p>
        </w:tc>
        <w:tc>
          <w:tcPr>
            <w:tcW w:w="2268" w:type="dxa"/>
          </w:tcPr>
          <w:p w:rsidR="007E1AA6" w:rsidRPr="00752D96" w:rsidRDefault="009A1180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significante spiegelverschillen in alle groepen voor en na 1 jaar</w:t>
            </w:r>
          </w:p>
        </w:tc>
        <w:tc>
          <w:tcPr>
            <w:tcW w:w="2126" w:type="dxa"/>
          </w:tcPr>
          <w:p w:rsidR="007E1AA6" w:rsidRPr="00752D96" w:rsidRDefault="002912D6" w:rsidP="002912D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Significante verlaging van de spiegel in de groep van carbamazepine- als ook valproïnezuurgebruikers ten opzichte van de voormeting en de controlegroep</w:t>
            </w:r>
          </w:p>
        </w:tc>
        <w:tc>
          <w:tcPr>
            <w:tcW w:w="2238" w:type="dxa"/>
          </w:tcPr>
          <w:p w:rsidR="007E1AA6" w:rsidRPr="00752D96" w:rsidRDefault="009A1180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Significante stijging van de spiegel in de groep van carbamazepine- als ook valproïnezuurgebruikers</w:t>
            </w:r>
            <w:r w:rsidR="002912D6" w:rsidRPr="00752D96">
              <w:rPr>
                <w:rFonts w:cs="Arial"/>
                <w:sz w:val="18"/>
                <w:szCs w:val="18"/>
                <w:lang w:val="nl-NL"/>
              </w:rPr>
              <w:t xml:space="preserve"> ten opzichte van de voormeting en de controlegroep</w:t>
            </w:r>
          </w:p>
        </w:tc>
        <w:tc>
          <w:tcPr>
            <w:tcW w:w="2325" w:type="dxa"/>
          </w:tcPr>
          <w:p w:rsidR="006C10AD" w:rsidRPr="00752D96" w:rsidRDefault="006C10AD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groepen;</w:t>
            </w:r>
          </w:p>
          <w:p w:rsidR="007E1AA6" w:rsidRPr="00752D96" w:rsidRDefault="002912D6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Significante verlaging van de vitamine B6 spiegel in de groep van carbamazepine- als ook valproïnezuurgebruikers ten opzichte van de voormeting en de controlegroep</w:t>
            </w:r>
          </w:p>
        </w:tc>
      </w:tr>
      <w:tr w:rsidR="003218AD" w:rsidRPr="00752D96" w:rsidTr="00752D96">
        <w:trPr>
          <w:trHeight w:val="2499"/>
        </w:trPr>
        <w:tc>
          <w:tcPr>
            <w:tcW w:w="1384" w:type="dxa"/>
          </w:tcPr>
          <w:p w:rsidR="003218AD" w:rsidRPr="00752D96" w:rsidRDefault="003218AD" w:rsidP="00C90F12">
            <w:pPr>
              <w:pStyle w:val="Geenafstand"/>
              <w:rPr>
                <w:rFonts w:cs="Arial"/>
                <w:sz w:val="18"/>
                <w:szCs w:val="18"/>
                <w:lang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t>Vilaseca</w:t>
            </w:r>
            <w:proofErr w:type="spellEnd"/>
            <w:r w:rsidRPr="00752D96">
              <w:rPr>
                <w:rFonts w:cs="Arial"/>
                <w:sz w:val="18"/>
                <w:szCs w:val="18"/>
                <w:lang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eastAsia="nl-NL"/>
              </w:rPr>
              <w:t xml:space="preserve">2000, </w:t>
            </w: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t>Spanje</w:t>
            </w:r>
            <w:proofErr w:type="spellEnd"/>
          </w:p>
        </w:tc>
        <w:tc>
          <w:tcPr>
            <w:tcW w:w="2835" w:type="dxa"/>
          </w:tcPr>
          <w:p w:rsidR="003218AD" w:rsidRPr="00752D96" w:rsidRDefault="00D66A28" w:rsidP="0052326F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kinderen </w:t>
            </w:r>
            <w:r w:rsidR="00E816D5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op chronische 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monotherapie</w:t>
            </w:r>
            <w:r w:rsidR="003218AD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met valproïnezuur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(N=74) of </w:t>
            </w:r>
            <w:r w:rsidR="003218AD" w:rsidRPr="00752D96">
              <w:rPr>
                <w:rFonts w:cs="Arial"/>
                <w:sz w:val="18"/>
                <w:szCs w:val="18"/>
                <w:lang w:val="nl-NL" w:eastAsia="nl-NL"/>
              </w:rPr>
              <w:t>carbamazepine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(N=62)</w:t>
            </w:r>
            <w:r w:rsidR="00034CA7" w:rsidRPr="00752D96">
              <w:rPr>
                <w:rFonts w:cs="Arial"/>
                <w:sz w:val="18"/>
                <w:szCs w:val="18"/>
                <w:lang w:val="nl-NL" w:eastAsia="nl-NL"/>
              </w:rPr>
              <w:t>, vergel</w:t>
            </w:r>
            <w:r w:rsidRPr="00752D96">
              <w:rPr>
                <w:rFonts w:cs="Arial"/>
                <w:sz w:val="18"/>
                <w:szCs w:val="18"/>
                <w:lang w:val="nl-NL" w:eastAsia="nl-NL"/>
              </w:rPr>
              <w:t>eken</w:t>
            </w:r>
            <w:r w:rsidR="00034CA7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met referentiewaarden</w:t>
            </w:r>
          </w:p>
        </w:tc>
        <w:tc>
          <w:tcPr>
            <w:tcW w:w="2268" w:type="dxa"/>
          </w:tcPr>
          <w:p w:rsidR="003218AD" w:rsidRPr="00752D96" w:rsidRDefault="00F412A0" w:rsidP="003A3DB0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Spiegel in Valproïnezuurgroep hoger dan referentiewaarde. 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>Niemand heeft een spiegel onder het 5</w:t>
            </w:r>
            <w:r w:rsidR="003A3DB0" w:rsidRPr="00752D96">
              <w:rPr>
                <w:rFonts w:cs="Arial"/>
                <w:sz w:val="18"/>
                <w:szCs w:val="18"/>
                <w:vertAlign w:val="superscript"/>
                <w:lang w:val="nl-NL"/>
              </w:rPr>
              <w:t>e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 xml:space="preserve"> percentiel. 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Geen verschil carbamazepinegroep met referentiewaarde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>, maar 21,8% hebben een spiegel onder het 5</w:t>
            </w:r>
            <w:r w:rsidR="003A3DB0" w:rsidRPr="00752D96">
              <w:rPr>
                <w:rFonts w:cs="Arial"/>
                <w:sz w:val="18"/>
                <w:szCs w:val="18"/>
                <w:vertAlign w:val="superscript"/>
                <w:lang w:val="nl-NL"/>
              </w:rPr>
              <w:t>e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 xml:space="preserve"> percentiel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>.</w:t>
            </w:r>
          </w:p>
        </w:tc>
        <w:tc>
          <w:tcPr>
            <w:tcW w:w="2126" w:type="dxa"/>
          </w:tcPr>
          <w:p w:rsidR="003218AD" w:rsidRPr="00752D96" w:rsidRDefault="00F412A0" w:rsidP="003A3DB0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Spiegel in valproïnezuur- en carbamazepinegroep significant lager dan referentiewaarden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>. 62% van de carbamazepinegroep heb</w:t>
            </w:r>
            <w:r w:rsidR="00DB72EF" w:rsidRPr="00752D96">
              <w:rPr>
                <w:rFonts w:cs="Arial"/>
                <w:sz w:val="18"/>
                <w:szCs w:val="18"/>
                <w:lang w:val="nl-NL"/>
              </w:rPr>
              <w:t>b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>en een spiegel lager dan het 5</w:t>
            </w:r>
            <w:r w:rsidR="003A3DB0" w:rsidRPr="00752D96">
              <w:rPr>
                <w:rFonts w:cs="Arial"/>
                <w:sz w:val="18"/>
                <w:szCs w:val="18"/>
                <w:vertAlign w:val="superscript"/>
                <w:lang w:val="nl-NL"/>
              </w:rPr>
              <w:t>e</w:t>
            </w:r>
            <w:r w:rsidR="003A3DB0" w:rsidRPr="00752D96">
              <w:rPr>
                <w:rFonts w:cs="Arial"/>
                <w:sz w:val="18"/>
                <w:szCs w:val="18"/>
                <w:lang w:val="nl-NL"/>
              </w:rPr>
              <w:t xml:space="preserve"> percentiel, en 10% van de valproïnezuurgroep.</w:t>
            </w:r>
          </w:p>
        </w:tc>
        <w:tc>
          <w:tcPr>
            <w:tcW w:w="2238" w:type="dxa"/>
          </w:tcPr>
          <w:p w:rsidR="003218AD" w:rsidRPr="00752D96" w:rsidRDefault="003A3DB0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41,9% resp. 39,2% van de carbamazepine- en valproïnezuurgroep hadden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homocysteïnespiegels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boven het 95</w:t>
            </w:r>
            <w:r w:rsidRPr="00752D96">
              <w:rPr>
                <w:rFonts w:cs="Arial"/>
                <w:sz w:val="18"/>
                <w:szCs w:val="18"/>
                <w:vertAlign w:val="superscript"/>
                <w:lang w:val="nl-NL"/>
              </w:rPr>
              <w:t>e</w:t>
            </w: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percentiel. </w:t>
            </w:r>
          </w:p>
        </w:tc>
        <w:tc>
          <w:tcPr>
            <w:tcW w:w="2325" w:type="dxa"/>
          </w:tcPr>
          <w:p w:rsidR="006C10AD" w:rsidRPr="00752D96" w:rsidRDefault="006C10AD" w:rsidP="00E845E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groepen;</w:t>
            </w:r>
          </w:p>
          <w:p w:rsidR="003218AD" w:rsidRPr="00752D96" w:rsidRDefault="00E845E6" w:rsidP="00E845E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differentiële invloed van 677CT mutatie op foliumzuurspiegel bij verschillende anti-epileptica</w:t>
            </w:r>
          </w:p>
        </w:tc>
      </w:tr>
      <w:tr w:rsidR="00DD208F" w:rsidRPr="00752D96" w:rsidTr="00752D96">
        <w:trPr>
          <w:trHeight w:val="1698"/>
        </w:trPr>
        <w:tc>
          <w:tcPr>
            <w:tcW w:w="1384" w:type="dxa"/>
          </w:tcPr>
          <w:p w:rsidR="00DD208F" w:rsidRPr="00752D96" w:rsidRDefault="00DD208F" w:rsidP="003218AD">
            <w:pPr>
              <w:pStyle w:val="Geenafstand"/>
              <w:rPr>
                <w:rFonts w:cs="Arial"/>
                <w:sz w:val="18"/>
                <w:szCs w:val="18"/>
                <w:lang w:eastAsia="nl-NL"/>
              </w:rPr>
            </w:pP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t>Vurucu</w:t>
            </w:r>
            <w:proofErr w:type="spellEnd"/>
            <w:r w:rsidRPr="00752D96">
              <w:rPr>
                <w:rFonts w:cs="Arial"/>
                <w:sz w:val="18"/>
                <w:szCs w:val="18"/>
                <w:lang w:eastAsia="nl-NL"/>
              </w:rPr>
              <w:t xml:space="preserve">, </w:t>
            </w:r>
            <w:r w:rsidR="00C90F12" w:rsidRPr="00752D96">
              <w:rPr>
                <w:rFonts w:cs="Arial"/>
                <w:sz w:val="18"/>
                <w:szCs w:val="18"/>
                <w:lang w:eastAsia="nl-NL"/>
              </w:rPr>
              <w:t xml:space="preserve">2008, </w:t>
            </w:r>
            <w:proofErr w:type="spellStart"/>
            <w:r w:rsidRPr="00752D96">
              <w:rPr>
                <w:rFonts w:cs="Arial"/>
                <w:sz w:val="18"/>
                <w:szCs w:val="18"/>
                <w:lang w:eastAsia="nl-NL"/>
              </w:rPr>
              <w:t>Turkije</w:t>
            </w:r>
            <w:proofErr w:type="spellEnd"/>
          </w:p>
        </w:tc>
        <w:tc>
          <w:tcPr>
            <w:tcW w:w="2835" w:type="dxa"/>
          </w:tcPr>
          <w:p w:rsidR="00DD208F" w:rsidRPr="00752D96" w:rsidRDefault="000846B8" w:rsidP="00F77F3C">
            <w:pPr>
              <w:pStyle w:val="Geenafstand"/>
              <w:rPr>
                <w:rFonts w:cs="Arial"/>
                <w:sz w:val="18"/>
                <w:szCs w:val="18"/>
                <w:lang w:val="nl-NL" w:eastAsia="nl-NL"/>
              </w:rPr>
            </w:pPr>
            <w:r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Cross-sectioneel: </w:t>
            </w:r>
            <w:r w:rsidR="000D64CE" w:rsidRPr="00752D96">
              <w:rPr>
                <w:rFonts w:cs="Arial"/>
                <w:sz w:val="18"/>
                <w:szCs w:val="18"/>
                <w:lang w:val="nl-NL" w:eastAsia="nl-NL"/>
              </w:rPr>
              <w:t>93</w:t>
            </w:r>
            <w:r w:rsidR="00DD208F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kinderen met chronisch</w:t>
            </w:r>
            <w:r w:rsidR="000D64CE" w:rsidRPr="00752D96">
              <w:rPr>
                <w:rFonts w:cs="Arial"/>
                <w:sz w:val="18"/>
                <w:szCs w:val="18"/>
                <w:lang w:val="nl-NL" w:eastAsia="nl-NL"/>
              </w:rPr>
              <w:t>e anti</w:t>
            </w:r>
            <w:r w:rsidR="004D1220" w:rsidRPr="00752D96">
              <w:rPr>
                <w:rFonts w:cs="Arial"/>
                <w:sz w:val="18"/>
                <w:szCs w:val="18"/>
                <w:lang w:val="nl-NL" w:eastAsia="nl-NL"/>
              </w:rPr>
              <w:t>-</w:t>
            </w:r>
            <w:r w:rsidR="000D64CE" w:rsidRPr="00752D96">
              <w:rPr>
                <w:rFonts w:cs="Arial"/>
                <w:sz w:val="18"/>
                <w:szCs w:val="18"/>
                <w:lang w:val="nl-NL" w:eastAsia="nl-NL"/>
              </w:rPr>
              <w:t>epileptische monotherapie (</w:t>
            </w:r>
            <w:r w:rsidR="00F77F3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Groep 1: </w:t>
            </w:r>
            <w:r w:rsidR="000D64CE" w:rsidRPr="00752D96">
              <w:rPr>
                <w:rFonts w:cs="Arial"/>
                <w:sz w:val="18"/>
                <w:szCs w:val="18"/>
                <w:lang w:val="nl-NL" w:eastAsia="nl-NL"/>
              </w:rPr>
              <w:t>29 met carbamazepine, 64 met valproïnezuur) en 62 gezonde kinderen met vergelijkbaar leeftijd en geslacht</w:t>
            </w:r>
            <w:r w:rsidR="00F77F3C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((controle-)</w:t>
            </w:r>
            <w:r w:rsid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  <w:r w:rsidR="00F77F3C" w:rsidRPr="00752D96">
              <w:rPr>
                <w:rFonts w:cs="Arial"/>
                <w:sz w:val="18"/>
                <w:szCs w:val="18"/>
                <w:lang w:val="nl-NL" w:eastAsia="nl-NL"/>
              </w:rPr>
              <w:t>groep 2)</w:t>
            </w:r>
            <w:r w:rsidR="00DD208F" w:rsidRPr="00752D96">
              <w:rPr>
                <w:rFonts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68" w:type="dxa"/>
          </w:tcPr>
          <w:p w:rsidR="00DD208F" w:rsidRPr="00752D96" w:rsidRDefault="000D64CE" w:rsidP="00E5702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Geen verschil in vitamine B12 spiegel tussen de carbamazepinegroep en de controlegroep. Hogere spiegel in de valproïnezuurgroep dan de controlegroep.</w:t>
            </w:r>
          </w:p>
        </w:tc>
        <w:tc>
          <w:tcPr>
            <w:tcW w:w="2126" w:type="dxa"/>
          </w:tcPr>
          <w:p w:rsidR="00DD208F" w:rsidRPr="00752D96" w:rsidRDefault="000D64CE" w:rsidP="003A3DB0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Lagere spiegel in carbamazepinegroep, doch niet valproïnezuurgroep, dan controlegroep.</w:t>
            </w:r>
          </w:p>
        </w:tc>
        <w:tc>
          <w:tcPr>
            <w:tcW w:w="2238" w:type="dxa"/>
          </w:tcPr>
          <w:p w:rsidR="00DD208F" w:rsidRPr="00752D96" w:rsidRDefault="00E57026" w:rsidP="000F0BEE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Hogere spiegel in de valproïnezuurgroep, doch niet carbamazepinegroep, dan de controlegroep.</w:t>
            </w:r>
          </w:p>
        </w:tc>
        <w:tc>
          <w:tcPr>
            <w:tcW w:w="2325" w:type="dxa"/>
          </w:tcPr>
          <w:p w:rsidR="00F77F3C" w:rsidRPr="00752D96" w:rsidRDefault="00F77F3C" w:rsidP="00E845E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>Kleine groepen;</w:t>
            </w:r>
          </w:p>
          <w:p w:rsidR="00DD208F" w:rsidRPr="00752D96" w:rsidRDefault="00E57026" w:rsidP="00E845E6">
            <w:pPr>
              <w:pStyle w:val="Geenafstand"/>
              <w:rPr>
                <w:rFonts w:cs="Arial"/>
                <w:sz w:val="18"/>
                <w:szCs w:val="18"/>
                <w:lang w:val="nl-NL"/>
              </w:rPr>
            </w:pPr>
            <w:r w:rsidRPr="00752D96">
              <w:rPr>
                <w:rFonts w:cs="Arial"/>
                <w:sz w:val="18"/>
                <w:szCs w:val="18"/>
                <w:lang w:val="nl-NL"/>
              </w:rPr>
              <w:t xml:space="preserve">C677T </w:t>
            </w:r>
            <w:proofErr w:type="spellStart"/>
            <w:r w:rsidRPr="00752D96">
              <w:rPr>
                <w:rFonts w:cs="Arial"/>
                <w:sz w:val="18"/>
                <w:szCs w:val="18"/>
                <w:lang w:val="nl-NL"/>
              </w:rPr>
              <w:t>genvariant</w:t>
            </w:r>
            <w:proofErr w:type="spellEnd"/>
            <w:r w:rsidRPr="00752D96">
              <w:rPr>
                <w:rFonts w:cs="Arial"/>
                <w:sz w:val="18"/>
                <w:szCs w:val="18"/>
                <w:lang w:val="nl-NL"/>
              </w:rPr>
              <w:t xml:space="preserve"> had geen invloed op de spiegels.</w:t>
            </w:r>
          </w:p>
        </w:tc>
      </w:tr>
    </w:tbl>
    <w:p w:rsidR="00E5257B" w:rsidRDefault="00E5257B" w:rsidP="00E5257B">
      <w:pPr>
        <w:autoSpaceDE w:val="0"/>
        <w:autoSpaceDN w:val="0"/>
        <w:adjustRightInd w:val="0"/>
        <w:rPr>
          <w:rFonts w:eastAsia="QuadraatSans-Regular" w:cs="Arial"/>
          <w:sz w:val="22"/>
          <w:lang w:val="nl-NL"/>
        </w:rPr>
      </w:pPr>
    </w:p>
    <w:p w:rsidR="00E5257B" w:rsidRPr="00DD208F" w:rsidRDefault="00DD208F" w:rsidP="00E5257B">
      <w:pPr>
        <w:autoSpaceDE w:val="0"/>
        <w:autoSpaceDN w:val="0"/>
        <w:adjustRightInd w:val="0"/>
        <w:rPr>
          <w:rFonts w:eastAsia="QuadraatSans-Regular" w:cs="Arial"/>
          <w:sz w:val="22"/>
          <w:lang w:val="nl-NL"/>
        </w:rPr>
      </w:pPr>
      <w:r w:rsidRPr="00DD208F">
        <w:rPr>
          <w:rFonts w:eastAsia="QuadraatSans-Regular" w:cs="Arial"/>
          <w:sz w:val="22"/>
          <w:lang w:val="nl-NL"/>
        </w:rPr>
        <w:t xml:space="preserve">Legenda: chronisch </w:t>
      </w:r>
      <w:r w:rsidRPr="00A5164A">
        <w:rPr>
          <w:rFonts w:eastAsia="QuadraatSans-Regular" w:cs="Arial"/>
          <w:sz w:val="22"/>
          <w:lang w:val="nl-NL"/>
        </w:rPr>
        <w:t xml:space="preserve">gebruik/onderhoudsbehandeling: langer dan zes maanden; </w:t>
      </w:r>
      <w:r w:rsidR="00CA400E">
        <w:rPr>
          <w:rFonts w:eastAsia="QuadraatSans-Regular" w:cs="Arial"/>
          <w:sz w:val="22"/>
          <w:lang w:val="nl-NL"/>
        </w:rPr>
        <w:t xml:space="preserve">indien niet anders vermeld hadden de gebruikers van anti-epileptica </w:t>
      </w:r>
      <w:r w:rsidR="000846B8">
        <w:rPr>
          <w:rFonts w:eastAsia="QuadraatSans-Regular" w:cs="Arial"/>
          <w:sz w:val="22"/>
          <w:lang w:val="nl-NL"/>
        </w:rPr>
        <w:t xml:space="preserve">de diagnose </w:t>
      </w:r>
      <w:r w:rsidR="00CA400E">
        <w:rPr>
          <w:rFonts w:eastAsia="QuadraatSans-Regular" w:cs="Arial"/>
          <w:sz w:val="22"/>
          <w:lang w:val="nl-NL"/>
        </w:rPr>
        <w:t xml:space="preserve">epilepsie; </w:t>
      </w:r>
      <w:r w:rsidR="005E211F" w:rsidRPr="00DD208F">
        <w:rPr>
          <w:rFonts w:eastAsia="QuadraatSans-Regular" w:cs="Arial"/>
          <w:sz w:val="22"/>
          <w:lang w:val="nl-NL"/>
        </w:rPr>
        <w:t xml:space="preserve">BDI= Beck </w:t>
      </w:r>
      <w:proofErr w:type="spellStart"/>
      <w:r w:rsidR="005E211F" w:rsidRPr="00DD208F">
        <w:rPr>
          <w:rFonts w:eastAsia="QuadraatSans-Regular" w:cs="Arial"/>
          <w:sz w:val="22"/>
          <w:lang w:val="nl-NL"/>
        </w:rPr>
        <w:t>Depression</w:t>
      </w:r>
      <w:proofErr w:type="spellEnd"/>
      <w:r w:rsidR="005E211F" w:rsidRPr="00DD208F">
        <w:rPr>
          <w:rFonts w:eastAsia="QuadraatSans-Regular" w:cs="Arial"/>
          <w:sz w:val="22"/>
          <w:lang w:val="nl-NL"/>
        </w:rPr>
        <w:t xml:space="preserve"> Inventory</w:t>
      </w:r>
      <w:r w:rsidR="00E5257B" w:rsidRPr="00DD208F">
        <w:rPr>
          <w:rFonts w:eastAsia="QuadraatSans-Regular" w:cs="Arial"/>
          <w:sz w:val="22"/>
          <w:lang w:val="nl-NL"/>
        </w:rPr>
        <w:t xml:space="preserve"> </w:t>
      </w:r>
      <w:r w:rsidR="00F77F3C">
        <w:rPr>
          <w:rFonts w:eastAsia="QuadraatSans-Regular" w:cs="Arial"/>
          <w:sz w:val="22"/>
          <w:lang w:val="nl-NL"/>
        </w:rPr>
        <w:t>; kleine groep (N&lt;100), zeer kleine groep (N&lt;50).</w:t>
      </w:r>
    </w:p>
    <w:p w:rsidR="00E5257B" w:rsidRPr="008C2F67" w:rsidRDefault="00E5257B" w:rsidP="00E5257B">
      <w:pPr>
        <w:autoSpaceDE w:val="0"/>
        <w:autoSpaceDN w:val="0"/>
        <w:adjustRightInd w:val="0"/>
        <w:rPr>
          <w:rFonts w:eastAsia="QuadraatSans-Regular" w:cs="Arial"/>
          <w:sz w:val="22"/>
          <w:lang w:val="nl-NL"/>
        </w:rPr>
      </w:pPr>
    </w:p>
    <w:sectPr w:rsidR="00E5257B" w:rsidRPr="008C2F67" w:rsidSect="00DC36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Sans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2DBD"/>
    <w:multiLevelType w:val="hybridMultilevel"/>
    <w:tmpl w:val="D9D8F076"/>
    <w:lvl w:ilvl="0" w:tplc="762E3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AE1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E7C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30F2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4DF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6A1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FA15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23C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EA0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174D70"/>
    <w:multiLevelType w:val="hybridMultilevel"/>
    <w:tmpl w:val="5A8AFAF0"/>
    <w:lvl w:ilvl="0" w:tplc="A718E2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3A5E"/>
    <w:multiLevelType w:val="hybridMultilevel"/>
    <w:tmpl w:val="B554EE1E"/>
    <w:lvl w:ilvl="0" w:tplc="DA462F1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b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6D94"/>
    <w:multiLevelType w:val="hybridMultilevel"/>
    <w:tmpl w:val="364C5ED2"/>
    <w:lvl w:ilvl="0" w:tplc="202467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E71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29F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D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E90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24C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1E98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F85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E2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1F5342"/>
    <w:multiLevelType w:val="hybridMultilevel"/>
    <w:tmpl w:val="9C142BFE"/>
    <w:lvl w:ilvl="0" w:tplc="0D028006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41F0"/>
    <w:multiLevelType w:val="hybridMultilevel"/>
    <w:tmpl w:val="F6467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2C8A"/>
    <w:multiLevelType w:val="hybridMultilevel"/>
    <w:tmpl w:val="279CD022"/>
    <w:lvl w:ilvl="0" w:tplc="46E07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82689"/>
    <w:multiLevelType w:val="hybridMultilevel"/>
    <w:tmpl w:val="9C142BFE"/>
    <w:lvl w:ilvl="0" w:tplc="0D028006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00F3"/>
    <w:multiLevelType w:val="hybridMultilevel"/>
    <w:tmpl w:val="5600BF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B1A6C"/>
    <w:multiLevelType w:val="hybridMultilevel"/>
    <w:tmpl w:val="BAC25CFE"/>
    <w:lvl w:ilvl="0" w:tplc="E5E884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893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01B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F472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231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86C1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1A99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4EC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A89F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C842EB"/>
    <w:multiLevelType w:val="hybridMultilevel"/>
    <w:tmpl w:val="9C20E7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71A45"/>
    <w:multiLevelType w:val="hybridMultilevel"/>
    <w:tmpl w:val="9C142BFE"/>
    <w:lvl w:ilvl="0" w:tplc="0D028006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F"/>
    <w:rsid w:val="000015FE"/>
    <w:rsid w:val="0000412D"/>
    <w:rsid w:val="00006FF2"/>
    <w:rsid w:val="00011AC4"/>
    <w:rsid w:val="00023A7A"/>
    <w:rsid w:val="00034CA7"/>
    <w:rsid w:val="000413A3"/>
    <w:rsid w:val="000456E7"/>
    <w:rsid w:val="0005703F"/>
    <w:rsid w:val="00060D41"/>
    <w:rsid w:val="00072801"/>
    <w:rsid w:val="0007326A"/>
    <w:rsid w:val="000833FB"/>
    <w:rsid w:val="000846B8"/>
    <w:rsid w:val="0009754D"/>
    <w:rsid w:val="000A281C"/>
    <w:rsid w:val="000A6274"/>
    <w:rsid w:val="000B1057"/>
    <w:rsid w:val="000B20D4"/>
    <w:rsid w:val="000B2E6B"/>
    <w:rsid w:val="000C3173"/>
    <w:rsid w:val="000C4D63"/>
    <w:rsid w:val="000C5FA8"/>
    <w:rsid w:val="000C6348"/>
    <w:rsid w:val="000D2B75"/>
    <w:rsid w:val="000D3372"/>
    <w:rsid w:val="000D45C8"/>
    <w:rsid w:val="000D46BC"/>
    <w:rsid w:val="000D4878"/>
    <w:rsid w:val="000D64CE"/>
    <w:rsid w:val="000D6B0C"/>
    <w:rsid w:val="000E2146"/>
    <w:rsid w:val="000F0BEE"/>
    <w:rsid w:val="000F4AB7"/>
    <w:rsid w:val="000F5CD2"/>
    <w:rsid w:val="00105390"/>
    <w:rsid w:val="00105CA8"/>
    <w:rsid w:val="00107258"/>
    <w:rsid w:val="00110441"/>
    <w:rsid w:val="00122D69"/>
    <w:rsid w:val="001242C4"/>
    <w:rsid w:val="00124DD4"/>
    <w:rsid w:val="00135A44"/>
    <w:rsid w:val="00142464"/>
    <w:rsid w:val="00143722"/>
    <w:rsid w:val="001508A8"/>
    <w:rsid w:val="00153D7A"/>
    <w:rsid w:val="001540FC"/>
    <w:rsid w:val="001542C8"/>
    <w:rsid w:val="00155123"/>
    <w:rsid w:val="001563F4"/>
    <w:rsid w:val="00160306"/>
    <w:rsid w:val="0016521A"/>
    <w:rsid w:val="0016797D"/>
    <w:rsid w:val="00167B41"/>
    <w:rsid w:val="001717E7"/>
    <w:rsid w:val="00175065"/>
    <w:rsid w:val="00177752"/>
    <w:rsid w:val="001827AE"/>
    <w:rsid w:val="00183A18"/>
    <w:rsid w:val="001A3D43"/>
    <w:rsid w:val="001A4E8D"/>
    <w:rsid w:val="001B1198"/>
    <w:rsid w:val="001B396B"/>
    <w:rsid w:val="001B6185"/>
    <w:rsid w:val="001C3A1A"/>
    <w:rsid w:val="001C4E5A"/>
    <w:rsid w:val="001D750B"/>
    <w:rsid w:val="00217A1C"/>
    <w:rsid w:val="00220A20"/>
    <w:rsid w:val="00222249"/>
    <w:rsid w:val="00224697"/>
    <w:rsid w:val="00230128"/>
    <w:rsid w:val="0023250C"/>
    <w:rsid w:val="00233EFB"/>
    <w:rsid w:val="00234A5B"/>
    <w:rsid w:val="002409D5"/>
    <w:rsid w:val="0024295D"/>
    <w:rsid w:val="002504B0"/>
    <w:rsid w:val="00251E3E"/>
    <w:rsid w:val="00253DA5"/>
    <w:rsid w:val="00257F35"/>
    <w:rsid w:val="00260E2A"/>
    <w:rsid w:val="00267E5E"/>
    <w:rsid w:val="00274961"/>
    <w:rsid w:val="00283F02"/>
    <w:rsid w:val="00286E5A"/>
    <w:rsid w:val="002912D6"/>
    <w:rsid w:val="0029374B"/>
    <w:rsid w:val="00293D60"/>
    <w:rsid w:val="00293DDA"/>
    <w:rsid w:val="00294119"/>
    <w:rsid w:val="002A0E6D"/>
    <w:rsid w:val="002A5AC2"/>
    <w:rsid w:val="002B3503"/>
    <w:rsid w:val="002C3E0C"/>
    <w:rsid w:val="002E067A"/>
    <w:rsid w:val="002E07DB"/>
    <w:rsid w:val="002E237D"/>
    <w:rsid w:val="002F649F"/>
    <w:rsid w:val="002F6F9E"/>
    <w:rsid w:val="00310890"/>
    <w:rsid w:val="00310FED"/>
    <w:rsid w:val="00312979"/>
    <w:rsid w:val="00316CF8"/>
    <w:rsid w:val="0032091D"/>
    <w:rsid w:val="00320C67"/>
    <w:rsid w:val="003218AD"/>
    <w:rsid w:val="00346DA7"/>
    <w:rsid w:val="003501A5"/>
    <w:rsid w:val="00350B27"/>
    <w:rsid w:val="003557DA"/>
    <w:rsid w:val="0035614D"/>
    <w:rsid w:val="00356636"/>
    <w:rsid w:val="00365732"/>
    <w:rsid w:val="003867C9"/>
    <w:rsid w:val="00390477"/>
    <w:rsid w:val="003A3DB0"/>
    <w:rsid w:val="003B75BD"/>
    <w:rsid w:val="003C145D"/>
    <w:rsid w:val="003C51ED"/>
    <w:rsid w:val="003D3078"/>
    <w:rsid w:val="003D4FC9"/>
    <w:rsid w:val="003D5953"/>
    <w:rsid w:val="003E0356"/>
    <w:rsid w:val="003E1415"/>
    <w:rsid w:val="003E2472"/>
    <w:rsid w:val="003E3F2D"/>
    <w:rsid w:val="003E411F"/>
    <w:rsid w:val="00400568"/>
    <w:rsid w:val="00411AE7"/>
    <w:rsid w:val="00416BDF"/>
    <w:rsid w:val="00420C88"/>
    <w:rsid w:val="00430B3F"/>
    <w:rsid w:val="00432070"/>
    <w:rsid w:val="00447575"/>
    <w:rsid w:val="00460366"/>
    <w:rsid w:val="0046612B"/>
    <w:rsid w:val="00466607"/>
    <w:rsid w:val="00467E98"/>
    <w:rsid w:val="004705D2"/>
    <w:rsid w:val="00482504"/>
    <w:rsid w:val="00492215"/>
    <w:rsid w:val="00493653"/>
    <w:rsid w:val="00497605"/>
    <w:rsid w:val="004978A6"/>
    <w:rsid w:val="004A0403"/>
    <w:rsid w:val="004A06E6"/>
    <w:rsid w:val="004A13AB"/>
    <w:rsid w:val="004A156B"/>
    <w:rsid w:val="004A3ECC"/>
    <w:rsid w:val="004B3748"/>
    <w:rsid w:val="004B7C66"/>
    <w:rsid w:val="004C4CB9"/>
    <w:rsid w:val="004D0C2D"/>
    <w:rsid w:val="004D0CB2"/>
    <w:rsid w:val="004D1220"/>
    <w:rsid w:val="004D40AD"/>
    <w:rsid w:val="004D643C"/>
    <w:rsid w:val="004E1948"/>
    <w:rsid w:val="004E41AF"/>
    <w:rsid w:val="004E5685"/>
    <w:rsid w:val="004F50B9"/>
    <w:rsid w:val="00502C0F"/>
    <w:rsid w:val="00504598"/>
    <w:rsid w:val="00504B4A"/>
    <w:rsid w:val="005147AB"/>
    <w:rsid w:val="0052326F"/>
    <w:rsid w:val="00526892"/>
    <w:rsid w:val="00533D2E"/>
    <w:rsid w:val="00535121"/>
    <w:rsid w:val="005403CF"/>
    <w:rsid w:val="0054264A"/>
    <w:rsid w:val="00543C15"/>
    <w:rsid w:val="00544F4F"/>
    <w:rsid w:val="0055339F"/>
    <w:rsid w:val="005564C8"/>
    <w:rsid w:val="0055739C"/>
    <w:rsid w:val="00575A67"/>
    <w:rsid w:val="00577E21"/>
    <w:rsid w:val="00595DBF"/>
    <w:rsid w:val="005A0718"/>
    <w:rsid w:val="005A15AF"/>
    <w:rsid w:val="005B623C"/>
    <w:rsid w:val="005C0674"/>
    <w:rsid w:val="005C1274"/>
    <w:rsid w:val="005E211F"/>
    <w:rsid w:val="00602668"/>
    <w:rsid w:val="0060691F"/>
    <w:rsid w:val="00613D3F"/>
    <w:rsid w:val="006279B2"/>
    <w:rsid w:val="00633F46"/>
    <w:rsid w:val="00636ACF"/>
    <w:rsid w:val="0064014C"/>
    <w:rsid w:val="00646696"/>
    <w:rsid w:val="0065366E"/>
    <w:rsid w:val="00657267"/>
    <w:rsid w:val="00660D50"/>
    <w:rsid w:val="00665387"/>
    <w:rsid w:val="00671E8D"/>
    <w:rsid w:val="00676E99"/>
    <w:rsid w:val="00686A2E"/>
    <w:rsid w:val="006948C0"/>
    <w:rsid w:val="006A5F4C"/>
    <w:rsid w:val="006C07EE"/>
    <w:rsid w:val="006C10AD"/>
    <w:rsid w:val="006C522E"/>
    <w:rsid w:val="006C685C"/>
    <w:rsid w:val="006C7F08"/>
    <w:rsid w:val="006E3D09"/>
    <w:rsid w:val="006F6BC1"/>
    <w:rsid w:val="00702884"/>
    <w:rsid w:val="00703393"/>
    <w:rsid w:val="00713996"/>
    <w:rsid w:val="00713AE0"/>
    <w:rsid w:val="00713D88"/>
    <w:rsid w:val="007151B9"/>
    <w:rsid w:val="007158E8"/>
    <w:rsid w:val="007212FA"/>
    <w:rsid w:val="00731EA8"/>
    <w:rsid w:val="00732077"/>
    <w:rsid w:val="00752D96"/>
    <w:rsid w:val="00753284"/>
    <w:rsid w:val="007533BE"/>
    <w:rsid w:val="00760018"/>
    <w:rsid w:val="0076533E"/>
    <w:rsid w:val="00770F5C"/>
    <w:rsid w:val="00771C48"/>
    <w:rsid w:val="00774009"/>
    <w:rsid w:val="00780338"/>
    <w:rsid w:val="0078492B"/>
    <w:rsid w:val="00786EAC"/>
    <w:rsid w:val="00791546"/>
    <w:rsid w:val="00791597"/>
    <w:rsid w:val="007A0817"/>
    <w:rsid w:val="007A7D49"/>
    <w:rsid w:val="007C140D"/>
    <w:rsid w:val="007C7CA4"/>
    <w:rsid w:val="007D31D9"/>
    <w:rsid w:val="007D6EE3"/>
    <w:rsid w:val="007E1AA6"/>
    <w:rsid w:val="007E7F78"/>
    <w:rsid w:val="007F1BDF"/>
    <w:rsid w:val="007F4653"/>
    <w:rsid w:val="00807915"/>
    <w:rsid w:val="00814EBD"/>
    <w:rsid w:val="00815114"/>
    <w:rsid w:val="00826E23"/>
    <w:rsid w:val="0083198F"/>
    <w:rsid w:val="00831BAA"/>
    <w:rsid w:val="00833DA8"/>
    <w:rsid w:val="00834945"/>
    <w:rsid w:val="00840381"/>
    <w:rsid w:val="00846679"/>
    <w:rsid w:val="008468DD"/>
    <w:rsid w:val="00870CD4"/>
    <w:rsid w:val="00875B8F"/>
    <w:rsid w:val="00876986"/>
    <w:rsid w:val="008926DA"/>
    <w:rsid w:val="008A05B8"/>
    <w:rsid w:val="008A784B"/>
    <w:rsid w:val="008B1F43"/>
    <w:rsid w:val="008B1FF7"/>
    <w:rsid w:val="008B2AE2"/>
    <w:rsid w:val="008B64B4"/>
    <w:rsid w:val="008C2F67"/>
    <w:rsid w:val="008C361D"/>
    <w:rsid w:val="008C3F64"/>
    <w:rsid w:val="008C41FE"/>
    <w:rsid w:val="008D513C"/>
    <w:rsid w:val="008D54E0"/>
    <w:rsid w:val="008E1C7D"/>
    <w:rsid w:val="008E6143"/>
    <w:rsid w:val="008F10F8"/>
    <w:rsid w:val="008F189F"/>
    <w:rsid w:val="008F66C3"/>
    <w:rsid w:val="00905D7F"/>
    <w:rsid w:val="00911C54"/>
    <w:rsid w:val="009140C2"/>
    <w:rsid w:val="00915E25"/>
    <w:rsid w:val="00925B24"/>
    <w:rsid w:val="00925B56"/>
    <w:rsid w:val="00926624"/>
    <w:rsid w:val="00932903"/>
    <w:rsid w:val="00940BBC"/>
    <w:rsid w:val="00961B78"/>
    <w:rsid w:val="00966A2E"/>
    <w:rsid w:val="00971657"/>
    <w:rsid w:val="0097420F"/>
    <w:rsid w:val="00980675"/>
    <w:rsid w:val="00982814"/>
    <w:rsid w:val="009936AF"/>
    <w:rsid w:val="009947B9"/>
    <w:rsid w:val="009A1180"/>
    <w:rsid w:val="009A1FBC"/>
    <w:rsid w:val="009C0AFA"/>
    <w:rsid w:val="009C1EDF"/>
    <w:rsid w:val="009C267C"/>
    <w:rsid w:val="009D0A76"/>
    <w:rsid w:val="009E014B"/>
    <w:rsid w:val="009F1AE2"/>
    <w:rsid w:val="009F301C"/>
    <w:rsid w:val="009F6A93"/>
    <w:rsid w:val="00A01714"/>
    <w:rsid w:val="00A033DA"/>
    <w:rsid w:val="00A05806"/>
    <w:rsid w:val="00A1123F"/>
    <w:rsid w:val="00A1183E"/>
    <w:rsid w:val="00A12BA0"/>
    <w:rsid w:val="00A26298"/>
    <w:rsid w:val="00A27C9A"/>
    <w:rsid w:val="00A32F91"/>
    <w:rsid w:val="00A34521"/>
    <w:rsid w:val="00A4164E"/>
    <w:rsid w:val="00A47581"/>
    <w:rsid w:val="00A50C72"/>
    <w:rsid w:val="00A5164A"/>
    <w:rsid w:val="00A5608D"/>
    <w:rsid w:val="00A5704B"/>
    <w:rsid w:val="00A57C4D"/>
    <w:rsid w:val="00A66777"/>
    <w:rsid w:val="00A70527"/>
    <w:rsid w:val="00A85FFD"/>
    <w:rsid w:val="00A87896"/>
    <w:rsid w:val="00AB5C00"/>
    <w:rsid w:val="00AD78AE"/>
    <w:rsid w:val="00AE6C71"/>
    <w:rsid w:val="00AF6B0C"/>
    <w:rsid w:val="00B030BD"/>
    <w:rsid w:val="00B07C49"/>
    <w:rsid w:val="00B10274"/>
    <w:rsid w:val="00B10EFD"/>
    <w:rsid w:val="00B11D02"/>
    <w:rsid w:val="00B31CE9"/>
    <w:rsid w:val="00B32CBF"/>
    <w:rsid w:val="00B349DB"/>
    <w:rsid w:val="00B40543"/>
    <w:rsid w:val="00B40983"/>
    <w:rsid w:val="00B44C78"/>
    <w:rsid w:val="00B44F5C"/>
    <w:rsid w:val="00B47E56"/>
    <w:rsid w:val="00B552B3"/>
    <w:rsid w:val="00B66E9B"/>
    <w:rsid w:val="00B8428B"/>
    <w:rsid w:val="00B874CD"/>
    <w:rsid w:val="00B878D2"/>
    <w:rsid w:val="00B92F3B"/>
    <w:rsid w:val="00B9625B"/>
    <w:rsid w:val="00BA0956"/>
    <w:rsid w:val="00BA2A08"/>
    <w:rsid w:val="00BA6FFF"/>
    <w:rsid w:val="00BB47A8"/>
    <w:rsid w:val="00BC44DA"/>
    <w:rsid w:val="00BC6E1F"/>
    <w:rsid w:val="00BD23FF"/>
    <w:rsid w:val="00BE05C4"/>
    <w:rsid w:val="00BE4BC9"/>
    <w:rsid w:val="00BF195C"/>
    <w:rsid w:val="00BF53CB"/>
    <w:rsid w:val="00BF6996"/>
    <w:rsid w:val="00BF7A9A"/>
    <w:rsid w:val="00C01561"/>
    <w:rsid w:val="00C04A17"/>
    <w:rsid w:val="00C05DBB"/>
    <w:rsid w:val="00C177BD"/>
    <w:rsid w:val="00C2080A"/>
    <w:rsid w:val="00C20D9E"/>
    <w:rsid w:val="00C322D3"/>
    <w:rsid w:val="00C3790A"/>
    <w:rsid w:val="00C37EF8"/>
    <w:rsid w:val="00C407DA"/>
    <w:rsid w:val="00C44AA3"/>
    <w:rsid w:val="00C4507C"/>
    <w:rsid w:val="00C553CB"/>
    <w:rsid w:val="00C55A9E"/>
    <w:rsid w:val="00C55EBC"/>
    <w:rsid w:val="00C56580"/>
    <w:rsid w:val="00C61979"/>
    <w:rsid w:val="00C730DE"/>
    <w:rsid w:val="00C75AC9"/>
    <w:rsid w:val="00C77FD2"/>
    <w:rsid w:val="00C8117F"/>
    <w:rsid w:val="00C86B26"/>
    <w:rsid w:val="00C90F12"/>
    <w:rsid w:val="00C94279"/>
    <w:rsid w:val="00C9559A"/>
    <w:rsid w:val="00CA1B66"/>
    <w:rsid w:val="00CA303A"/>
    <w:rsid w:val="00CA400E"/>
    <w:rsid w:val="00CA59ED"/>
    <w:rsid w:val="00CC25D8"/>
    <w:rsid w:val="00CE0738"/>
    <w:rsid w:val="00CF4A49"/>
    <w:rsid w:val="00CF678C"/>
    <w:rsid w:val="00D010D1"/>
    <w:rsid w:val="00D14837"/>
    <w:rsid w:val="00D1620B"/>
    <w:rsid w:val="00D16634"/>
    <w:rsid w:val="00D2159A"/>
    <w:rsid w:val="00D21D7E"/>
    <w:rsid w:val="00D33CE7"/>
    <w:rsid w:val="00D34F87"/>
    <w:rsid w:val="00D66A28"/>
    <w:rsid w:val="00D7371B"/>
    <w:rsid w:val="00D740F1"/>
    <w:rsid w:val="00D7675A"/>
    <w:rsid w:val="00D77190"/>
    <w:rsid w:val="00D7758F"/>
    <w:rsid w:val="00D86B1D"/>
    <w:rsid w:val="00D903C8"/>
    <w:rsid w:val="00D90FA4"/>
    <w:rsid w:val="00DA5C5F"/>
    <w:rsid w:val="00DB72EF"/>
    <w:rsid w:val="00DC23BA"/>
    <w:rsid w:val="00DC36DD"/>
    <w:rsid w:val="00DC7241"/>
    <w:rsid w:val="00DD208F"/>
    <w:rsid w:val="00DD5633"/>
    <w:rsid w:val="00DD7F94"/>
    <w:rsid w:val="00DF103E"/>
    <w:rsid w:val="00DF75D2"/>
    <w:rsid w:val="00E04323"/>
    <w:rsid w:val="00E045BC"/>
    <w:rsid w:val="00E25FF2"/>
    <w:rsid w:val="00E31BF3"/>
    <w:rsid w:val="00E407E1"/>
    <w:rsid w:val="00E45114"/>
    <w:rsid w:val="00E5165A"/>
    <w:rsid w:val="00E5257B"/>
    <w:rsid w:val="00E57026"/>
    <w:rsid w:val="00E5784E"/>
    <w:rsid w:val="00E621F1"/>
    <w:rsid w:val="00E62B9E"/>
    <w:rsid w:val="00E6335F"/>
    <w:rsid w:val="00E663B0"/>
    <w:rsid w:val="00E6725D"/>
    <w:rsid w:val="00E74342"/>
    <w:rsid w:val="00E77402"/>
    <w:rsid w:val="00E816D5"/>
    <w:rsid w:val="00E822AD"/>
    <w:rsid w:val="00E82D3B"/>
    <w:rsid w:val="00E845E6"/>
    <w:rsid w:val="00E84823"/>
    <w:rsid w:val="00EC11D3"/>
    <w:rsid w:val="00EC2017"/>
    <w:rsid w:val="00EC5C22"/>
    <w:rsid w:val="00ED082C"/>
    <w:rsid w:val="00ED0993"/>
    <w:rsid w:val="00EE1FBB"/>
    <w:rsid w:val="00EE3C36"/>
    <w:rsid w:val="00EF2903"/>
    <w:rsid w:val="00F0336E"/>
    <w:rsid w:val="00F16025"/>
    <w:rsid w:val="00F23B76"/>
    <w:rsid w:val="00F30144"/>
    <w:rsid w:val="00F31364"/>
    <w:rsid w:val="00F412A0"/>
    <w:rsid w:val="00F44A89"/>
    <w:rsid w:val="00F45B8E"/>
    <w:rsid w:val="00F77F3C"/>
    <w:rsid w:val="00F82BB9"/>
    <w:rsid w:val="00F90866"/>
    <w:rsid w:val="00F92EF4"/>
    <w:rsid w:val="00F95667"/>
    <w:rsid w:val="00FA01FE"/>
    <w:rsid w:val="00FA0A72"/>
    <w:rsid w:val="00FA0C0A"/>
    <w:rsid w:val="00FB2B2C"/>
    <w:rsid w:val="00FD2BDE"/>
    <w:rsid w:val="00FD3E63"/>
    <w:rsid w:val="00FD609E"/>
    <w:rsid w:val="00FE2A7B"/>
    <w:rsid w:val="00FE4866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8735C-FF12-49A4-96C3-84D35475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7FD2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5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B878D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B878D2"/>
    <w:rPr>
      <w:rFonts w:eastAsia="Times New Roman" w:cs="Arial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878D2"/>
    <w:rPr>
      <w:rFonts w:ascii="Arial" w:eastAsia="Times New Roman" w:hAnsi="Arial" w:cs="Arial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78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78D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86E5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13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13AB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CF8"/>
    <w:rPr>
      <w:rFonts w:eastAsiaTheme="minorHAnsi" w:cstheme="minorBidi"/>
      <w:b/>
      <w:bCs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CF8"/>
    <w:rPr>
      <w:rFonts w:ascii="Arial" w:eastAsia="Times New Roman" w:hAnsi="Arial" w:cs="Arial"/>
      <w:b/>
      <w:bCs/>
      <w:sz w:val="20"/>
      <w:szCs w:val="20"/>
      <w:lang w:val="nl-NL" w:eastAsia="nl-NL"/>
    </w:rPr>
  </w:style>
  <w:style w:type="paragraph" w:styleId="Geenafstand">
    <w:name w:val="No Spacing"/>
    <w:uiPriority w:val="1"/>
    <w:qFormat/>
    <w:rsid w:val="0022224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E446-CA60-4626-9B78-315B9472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B04D2012</Template>
  <TotalTime>0</TotalTime>
  <Pages>10</Pages>
  <Words>3501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GGZ-NHN</Company>
  <LinksUpToDate>false</LinksUpToDate>
  <CharactersWithSpaces>22716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Dinc, Deniz</dc:creator>
  <cp:lastModifiedBy>Schulte, Raphael</cp:lastModifiedBy>
  <cp:revision>3</cp:revision>
  <dcterms:created xsi:type="dcterms:W3CDTF">2017-05-31T09:57:00Z</dcterms:created>
  <dcterms:modified xsi:type="dcterms:W3CDTF">2017-05-31T09:57:00Z</dcterms:modified>
</cp:coreProperties>
</file>